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r w:rsidDel="00000000" w:rsidR="00000000" w:rsidRPr="00000000">
        <w:rPr>
          <w:rtl w:val="0"/>
        </w:rPr>
        <w:t xml:space="preserve">Analysis of data from International Educational Studies using IEA IDB Analyzer</w:t>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Mateusz Kleczaj (m.kleczaj@ibe.edu.pl)</w:t>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Jakub Łobaszewski (j.lobaszewski@ibe.edu.pl)</w:t>
      </w:r>
    </w:p>
    <w:p w:rsidR="00000000" w:rsidDel="00000000" w:rsidP="00000000" w:rsidRDefault="00000000" w:rsidRPr="00000000" w14:paraId="00000004">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59" w:lineRule="auto"/>
        <w:ind w:left="0" w:right="0" w:firstLine="0"/>
        <w:jc w:val="left"/>
        <w:rPr>
          <w:rFonts w:ascii="Play" w:cs="Play" w:eastAsia="Play" w:hAnsi="Play"/>
          <w:b w:val="0"/>
          <w:i w:val="0"/>
          <w:smallCaps w:val="0"/>
          <w:strike w:val="0"/>
          <w:color w:val="0f4761"/>
          <w:sz w:val="40"/>
          <w:szCs w:val="40"/>
          <w:u w:val="none"/>
          <w:shd w:fill="auto" w:val="clear"/>
          <w:vertAlign w:val="baseline"/>
        </w:rPr>
      </w:pPr>
      <w:r w:rsidDel="00000000" w:rsidR="00000000" w:rsidRPr="00000000">
        <w:rPr>
          <w:rFonts w:ascii="Play" w:cs="Play" w:eastAsia="Play" w:hAnsi="Play"/>
          <w:b w:val="0"/>
          <w:i w:val="0"/>
          <w:smallCaps w:val="0"/>
          <w:strike w:val="0"/>
          <w:color w:val="0f4761"/>
          <w:sz w:val="40"/>
          <w:szCs w:val="40"/>
          <w:u w:val="none"/>
          <w:shd w:fill="auto" w:val="clear"/>
          <w:vertAlign w:val="baseline"/>
          <w:rtl w:val="0"/>
        </w:rPr>
        <w:t xml:space="preserve">Table of contents</w:t>
      </w:r>
    </w:p>
    <w:sdt>
      <w:sdtPr>
        <w:id w:val="-1073573269"/>
        <w:docPartObj>
          <w:docPartGallery w:val="Table of Contents"/>
          <w:docPartUnique w:val="1"/>
        </w:docPartObj>
      </w:sdtPr>
      <w:sdtContent>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6"/>
            </w:tabs>
            <w:spacing w:after="100" w:before="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w:instrText>
            <w:fldChar w:fldCharType="separate"/>
          </w:r>
          <w:hyperlink w:anchor="_heading=h.57yemuo601so">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1 What is IDB Analyzer?</w:t>
              <w:tab/>
              <w:t xml:space="preserve">1</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6"/>
            </w:tabs>
            <w:spacing w:after="10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jrvo929r5tao">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1.1 Supported Studies</w:t>
              <w:tab/>
              <w:t xml:space="preserve">2</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6"/>
            </w:tabs>
            <w:spacing w:after="10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zesb0uy43fgi">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1.2 Downloading Data</w:t>
              <w:tab/>
              <w:t xml:space="preserve">3</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6"/>
            </w:tabs>
            <w:spacing w:after="10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af6opdpoj9ud">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1.3 System Requirements, Installation, and Launching the Program:</w:t>
              <w:tab/>
              <w:t xml:space="preserve">3</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6"/>
            </w:tabs>
            <w:spacing w:after="100" w:before="0" w:line="240"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2cj10eg5hd0b">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1.3.1 Program Installation</w:t>
              <w:tab/>
              <w:t xml:space="preserve">3</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6"/>
            </w:tabs>
            <w:spacing w:after="100" w:before="0" w:line="240"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3wqtxlc9p9fh">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1.3.2 Launching the Application and Available Modules</w:t>
              <w:tab/>
              <w:t xml:space="preserve">4</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6"/>
            </w:tabs>
            <w:spacing w:after="100" w:before="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scb2takj69k0">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2 Program Modules</w:t>
              <w:tab/>
              <w:t xml:space="preserve">5</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6"/>
            </w:tabs>
            <w:spacing w:after="10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4d6z6zjrvr9b">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2.1 Convert Module</w:t>
              <w:tab/>
              <w:t xml:space="preserve">5</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6"/>
            </w:tabs>
            <w:spacing w:after="10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wb3hqix0pt1e">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2.2 Merge Module</w:t>
              <w:tab/>
              <w:t xml:space="preserve">6</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6"/>
            </w:tabs>
            <w:spacing w:after="10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j7t5wfxtxi5v">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2.3 Analysis Module</w:t>
              <w:tab/>
              <w:t xml:space="preserve">9</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6"/>
            </w:tabs>
            <w:spacing w:after="100" w:before="0" w:line="240"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9jiwd48y1n1g">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2.3.1 Frequency Distributions (Percentages only)</w:t>
              <w:tab/>
              <w:t xml:space="preserve">10</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6"/>
            </w:tabs>
            <w:spacing w:after="100" w:before="0" w:line="240"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somqejaagxxy">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2.3.2 Frequency Distributions and Means (Percentages &amp; Means)</w:t>
              <w:tab/>
              <w:t xml:space="preserve">10</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6"/>
            </w:tabs>
            <w:spacing w:after="100" w:before="0" w:line="240"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g1c05cantt13">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2.3.3 Skills Benchmarks (Benchmarks)</w:t>
              <w:tab/>
              <w:t xml:space="preserve">11</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6"/>
            </w:tabs>
            <w:spacing w:after="100" w:before="0" w:line="240"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doc3ri26v7xw">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2.3.4 Percentiles</w:t>
              <w:tab/>
              <w:t xml:space="preserve">11</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6"/>
            </w:tabs>
            <w:spacing w:after="100" w:before="0" w:line="240"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7vd8f7m6js9b">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2.3.5 Correlations</w:t>
              <w:tab/>
              <w:t xml:space="preserve">11</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6"/>
            </w:tabs>
            <w:spacing w:after="100" w:before="0" w:line="240"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1oj8aobdz9po">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2.3.6 Linear Regression</w:t>
              <w:tab/>
              <w:t xml:space="preserve">12</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6"/>
            </w:tabs>
            <w:spacing w:after="100" w:before="0" w:line="240"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epmhyce2c87i">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2.3.7 Logistic Regression</w:t>
              <w:tab/>
              <w:t xml:space="preserve">12</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6"/>
            </w:tabs>
            <w:spacing w:after="100" w:before="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s5mt8rxfoxqz">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3 Example Analysis Using the IEA IDB Analyzer</w:t>
              <w:tab/>
              <w:t xml:space="preserve">12</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6"/>
            </w:tabs>
            <w:spacing w:after="10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yda84yu4tu4q">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3.1 Step 1: Downloading and Preparing the Data</w:t>
              <w:tab/>
              <w:t xml:space="preserve">13</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6"/>
            </w:tabs>
            <w:spacing w:after="10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qarcoubro0y">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3.2 Step 2: Launching the Analysis Module</w:t>
              <w:tab/>
              <w:t xml:space="preserve">14</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6"/>
            </w:tabs>
            <w:spacing w:after="10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35ajdgyinrft">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3.3 Interpreting the Results</w:t>
              <w:tab/>
              <w:t xml:space="preserve">15</w:t>
            </w:r>
          </w:hyperlink>
          <w:r w:rsidDel="00000000" w:rsidR="00000000" w:rsidRPr="00000000">
            <w:rPr>
              <w:rtl w:val="0"/>
            </w:rPr>
          </w:r>
        </w:p>
        <w:p w:rsidR="00000000" w:rsidDel="00000000" w:rsidP="00000000" w:rsidRDefault="00000000" w:rsidRPr="00000000" w14:paraId="0000001A">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B">
      <w:pPr>
        <w:rPr/>
      </w:pPr>
      <w:r w:rsidDel="00000000" w:rsidR="00000000" w:rsidRPr="00000000">
        <w:rPr>
          <w:rtl w:val="0"/>
        </w:rPr>
      </w:r>
    </w:p>
    <w:bookmarkStart w:colFirst="0" w:colLast="0" w:name="bookmark=id.94hwlxdzp53l" w:id="0"/>
    <w:bookmarkEnd w:id="0"/>
    <w:p w:rsidR="00000000" w:rsidDel="00000000" w:rsidP="00000000" w:rsidRDefault="00000000" w:rsidRPr="00000000" w14:paraId="0000001C">
      <w:pPr>
        <w:pStyle w:val="Heading2"/>
        <w:rPr/>
      </w:pPr>
      <w:bookmarkStart w:colFirst="0" w:colLast="0" w:name="_heading=h.57yemuo601so" w:id="1"/>
      <w:bookmarkEnd w:id="1"/>
      <w:r w:rsidDel="00000000" w:rsidR="00000000" w:rsidRPr="00000000">
        <w:rPr>
          <w:rtl w:val="0"/>
        </w:rPr>
        <w:t xml:space="preserve">1 What is IDB Analyzer?</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IDB Analyzer is a free tool developed by the International Association for the Evaluation of Educational Achievement (IEA) for working with data from international educational assessments conducted by IEA and the Organisation for Economic Co-operation and Development (OECD). It offers an intuitive interface that facilitates working with data without the need for advanced programming knowledge.</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Key features of IDB Analyzer include:</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Generating Analytical Code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Automatically creates scripts in SPSS, SAS, or R that account for IEA and OECD research methodologies, including statistical weights, random sampling and plausible values (PVs)</w:t>
      </w:r>
    </w:p>
    <w:p w:rsidR="00000000" w:rsidDel="00000000" w:rsidP="00000000" w:rsidRDefault="00000000" w:rsidRPr="00000000" w14:paraId="0000002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Data Integration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Allows combining various types of data files (e.g., regarding students, teachers, schools, or parents) from multiple countries into a single cohesive dataset.</w:t>
      </w:r>
    </w:p>
    <w:p w:rsidR="00000000" w:rsidDel="00000000" w:rsidP="00000000" w:rsidRDefault="00000000" w:rsidRPr="00000000" w14:paraId="0000002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Data Preparation for Analysis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Enables the selection of specific variables and the creation of customized datasets ready for further statistical processing.</w:t>
      </w:r>
    </w:p>
    <w:p w:rsidR="00000000" w:rsidDel="00000000" w:rsidP="00000000" w:rsidRDefault="00000000" w:rsidRPr="00000000" w14:paraId="0000002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Statistical Analysis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Allows you to calculate statistics such as means, percentages, percentiles, correlations, regression coefficients, and percentages of students achieving specific skill levels (benchmarks).</w:t>
      </w:r>
    </w:p>
    <w:p w:rsidR="00000000" w:rsidDel="00000000" w:rsidP="00000000" w:rsidRDefault="00000000" w:rsidRPr="00000000" w14:paraId="0000002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Data Format Conversion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Enables the transformation of databases from the </w:t>
      </w:r>
      <w:r w:rsidDel="00000000" w:rsidR="00000000" w:rsidRPr="00000000">
        <w:rPr>
          <w:rFonts w:ascii="Consolas" w:cs="Consolas" w:eastAsia="Consolas" w:hAnsi="Consolas"/>
          <w:b w:val="0"/>
          <w:i w:val="0"/>
          <w:smallCaps w:val="0"/>
          <w:strike w:val="0"/>
          <w:color w:val="000000"/>
          <w:sz w:val="22"/>
          <w:szCs w:val="22"/>
          <w:u w:val="none"/>
          <w:shd w:fill="auto" w:val="clear"/>
          <w:vertAlign w:val="baseline"/>
          <w:rtl w:val="0"/>
        </w:rPr>
        <w:t xml:space="preserve">.sav</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format (SPSS) to </w:t>
      </w:r>
      <w:r w:rsidDel="00000000" w:rsidR="00000000" w:rsidRPr="00000000">
        <w:rPr>
          <w:rFonts w:ascii="Consolas" w:cs="Consolas" w:eastAsia="Consolas" w:hAnsi="Consolas"/>
          <w:b w:val="0"/>
          <w:i w:val="0"/>
          <w:smallCaps w:val="0"/>
          <w:strike w:val="0"/>
          <w:color w:val="000000"/>
          <w:sz w:val="22"/>
          <w:szCs w:val="22"/>
          <w:u w:val="none"/>
          <w:shd w:fill="auto" w:val="clear"/>
          <w:vertAlign w:val="baseline"/>
          <w:rtl w:val="0"/>
        </w:rPr>
        <w:t xml:space="preserve">.RData</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format (R), facilitating work within the R environment.</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9694.0" w:type="dxa"/>
        <w:jc w:val="left"/>
        <w:tblInd w:w="19.999999999999982" w:type="dxa"/>
        <w:tblBorders>
          <w:top w:color="cc1914" w:space="0" w:sz="4" w:val="single"/>
          <w:left w:color="cc1914" w:space="0" w:sz="24" w:val="single"/>
          <w:bottom w:color="cc1914" w:space="0" w:sz="4" w:val="single"/>
          <w:right w:color="cc1914" w:space="0" w:sz="4" w:val="single"/>
        </w:tblBorders>
        <w:tblLayout w:type="fixed"/>
        <w:tblLook w:val="0000"/>
      </w:tblPr>
      <w:tblGrid>
        <w:gridCol w:w="9694"/>
        <w:tblGridChange w:id="0">
          <w:tblGrid>
            <w:gridCol w:w="9694"/>
          </w:tblGrid>
        </w:tblGridChange>
      </w:tblGrid>
      <w:tr>
        <w:trPr>
          <w:cantSplit w:val="1"/>
          <w:tblHeader w:val="0"/>
        </w:trPr>
        <w:tc>
          <w:tcPr>
            <w:shd w:fill="f7dddc" w:val="clear"/>
            <w:tcMar>
              <w:top w:w="92.0" w:type="dxa"/>
              <w:bottom w:w="92.0" w:type="dxa"/>
            </w:tcMa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152400" cy="152400"/>
                  <wp:effectExtent b="0" l="0" r="0" t="0"/>
                  <wp:docPr id="128"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52400" cy="152400"/>
                          </a:xfrm>
                          <a:prstGeom prst="rect"/>
                          <a:ln/>
                        </pic:spPr>
                      </pic:pic>
                    </a:graphicData>
                  </a:graphic>
                </wp:inline>
              </w:drawing>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Important Information About the Program’s Operation</w:t>
            </w:r>
          </w:p>
        </w:tc>
      </w:tr>
      <w:tr>
        <w:trPr>
          <w:cantSplit w:val="1"/>
          <w:tblHeader w:val="0"/>
        </w:trPr>
        <w:tc>
          <w:tcPr>
            <w:tcMar>
              <w:top w:w="108.0" w:type="dxa"/>
              <w:bottom w:w="108.0" w:type="dxa"/>
            </w:tcMa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1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IEA IDB Analyzer does not perform the analyses independently - it generates ready-to-use code that must be run in the selected statistical environment (SPSS, SAS or R). Version 5.0 of the IEA IDB Analyzer requires R software (version 4.2.0 or newer), SPSS or SAS.</w:t>
            </w:r>
          </w:p>
        </w:tc>
      </w:tr>
    </w:tbl>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p>
    <w:tbl>
      <w:tblPr>
        <w:tblStyle w:val="Table2"/>
        <w:tblW w:w="9694.0" w:type="dxa"/>
        <w:jc w:val="left"/>
        <w:tblInd w:w="19.999999999999982" w:type="dxa"/>
        <w:tblBorders>
          <w:top w:color="00a047" w:space="0" w:sz="4" w:val="single"/>
          <w:left w:color="00a047" w:space="0" w:sz="24" w:val="single"/>
          <w:bottom w:color="00a047" w:space="0" w:sz="4" w:val="single"/>
          <w:right w:color="00a047" w:space="0" w:sz="4" w:val="single"/>
        </w:tblBorders>
        <w:tblLayout w:type="fixed"/>
        <w:tblLook w:val="0000"/>
      </w:tblPr>
      <w:tblGrid>
        <w:gridCol w:w="9694"/>
        <w:tblGridChange w:id="0">
          <w:tblGrid>
            <w:gridCol w:w="9694"/>
          </w:tblGrid>
        </w:tblGridChange>
      </w:tblGrid>
      <w:tr>
        <w:trPr>
          <w:cantSplit w:val="1"/>
          <w:tblHeader w:val="0"/>
        </w:trPr>
        <w:tc>
          <w:tcPr>
            <w:shd w:fill="ccf1e3" w:val="clear"/>
            <w:tcMar>
              <w:top w:w="92.0" w:type="dxa"/>
              <w:bottom w:w="92.0" w:type="dxa"/>
            </w:tcMa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152400" cy="152400"/>
                  <wp:effectExtent b="0" l="0" r="0" t="0"/>
                  <wp:docPr id="130"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152400" cy="152400"/>
                          </a:xfrm>
                          <a:prstGeom prst="rect"/>
                          <a:ln/>
                        </pic:spPr>
                      </pic:pic>
                    </a:graphicData>
                  </a:graphic>
                </wp:inline>
              </w:drawing>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Additional Resources</w:t>
            </w:r>
          </w:p>
        </w:tc>
      </w:tr>
      <w:tr>
        <w:trPr>
          <w:cantSplit w:val="1"/>
          <w:tblHeader w:val="0"/>
        </w:trPr>
        <w:tc>
          <w:tcPr>
            <w:tcMar>
              <w:top w:w="108.0" w:type="dxa"/>
              <w:bottom w:w="108.0" w:type="dxa"/>
            </w:tcMar>
          </w:tcPr>
          <w:p w:rsidR="00000000" w:rsidDel="00000000" w:rsidP="00000000" w:rsidRDefault="00000000" w:rsidRPr="00000000" w14:paraId="00000029">
            <w:pPr>
              <w:numPr>
                <w:ilvl w:val="0"/>
                <w:numId w:val="22"/>
              </w:numPr>
              <w:ind w:left="720" w:hanging="360"/>
              <w:rPr/>
            </w:pPr>
            <w:r w:rsidDel="00000000" w:rsidR="00000000" w:rsidRPr="00000000">
              <w:rPr>
                <w:rtl w:val="0"/>
              </w:rPr>
              <w:t xml:space="preserve">IEA IDB Analyzer is available for download from the </w:t>
            </w:r>
            <w:hyperlink r:id="rId9">
              <w:r w:rsidDel="00000000" w:rsidR="00000000" w:rsidRPr="00000000">
                <w:rPr>
                  <w:color w:val="156082"/>
                  <w:rtl w:val="0"/>
                </w:rPr>
                <w:t xml:space="preserve">IEA Data and Tools</w:t>
              </w:r>
            </w:hyperlink>
            <w:r w:rsidDel="00000000" w:rsidR="00000000" w:rsidRPr="00000000">
              <w:rPr>
                <w:rtl w:val="0"/>
              </w:rPr>
              <w:t xml:space="preserve"> website.</w:t>
            </w:r>
          </w:p>
          <w:p w:rsidR="00000000" w:rsidDel="00000000" w:rsidP="00000000" w:rsidRDefault="00000000" w:rsidRPr="00000000" w14:paraId="0000002A">
            <w:pPr>
              <w:numPr>
                <w:ilvl w:val="0"/>
                <w:numId w:val="22"/>
              </w:numPr>
              <w:ind w:left="720" w:hanging="360"/>
              <w:rPr/>
            </w:pPr>
            <w:r w:rsidDel="00000000" w:rsidR="00000000" w:rsidRPr="00000000">
              <w:rPr>
                <w:rtl w:val="0"/>
              </w:rPr>
              <w:t xml:space="preserve">Detailed documentation, including the user manual, can be found in the application interface under the “Help” button.</w:t>
            </w:r>
          </w:p>
          <w:p w:rsidR="00000000" w:rsidDel="00000000" w:rsidP="00000000" w:rsidRDefault="00000000" w:rsidRPr="00000000" w14:paraId="0000002B">
            <w:pPr>
              <w:numPr>
                <w:ilvl w:val="0"/>
                <w:numId w:val="22"/>
              </w:numPr>
              <w:ind w:left="720" w:hanging="360"/>
              <w:rPr/>
            </w:pPr>
            <w:r w:rsidDel="00000000" w:rsidR="00000000" w:rsidRPr="00000000">
              <w:rPr>
                <w:rtl w:val="0"/>
              </w:rPr>
              <w:t xml:space="preserve">The </w:t>
            </w:r>
            <w:hyperlink r:id="rId10">
              <w:r w:rsidDel="00000000" w:rsidR="00000000" w:rsidRPr="00000000">
                <w:rPr>
                  <w:color w:val="156082"/>
                  <w:rtl w:val="0"/>
                </w:rPr>
                <w:t xml:space="preserve">Educational Research Institute - National Research Institute</w:t>
              </w:r>
            </w:hyperlink>
            <w:r w:rsidDel="00000000" w:rsidR="00000000" w:rsidRPr="00000000">
              <w:rPr>
                <w:rtl w:val="0"/>
              </w:rPr>
              <w:t xml:space="preserve"> website features instructional videos (prepared in Polish) demonstrating how to use the IEA IDB Analyzer package to analyze data from international studies.”</w:t>
            </w:r>
          </w:p>
        </w:tc>
      </w:tr>
    </w:tbl>
    <w:bookmarkStart w:colFirst="0" w:colLast="0" w:name="bookmark=id.ubzlxuspbemm" w:id="2"/>
    <w:bookmarkEnd w:id="2"/>
    <w:p w:rsidR="00000000" w:rsidDel="00000000" w:rsidP="00000000" w:rsidRDefault="00000000" w:rsidRPr="00000000" w14:paraId="0000002C">
      <w:pPr>
        <w:pStyle w:val="Heading3"/>
        <w:rPr/>
      </w:pPr>
      <w:bookmarkStart w:colFirst="0" w:colLast="0" w:name="_heading=h.jrvo929r5tao" w:id="3"/>
      <w:bookmarkEnd w:id="3"/>
      <w:r w:rsidDel="00000000" w:rsidR="00000000" w:rsidRPr="00000000">
        <w:rPr>
          <w:rtl w:val="0"/>
        </w:rPr>
        <w:t xml:space="preserve">1.1 Supported Studies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IEA IDB Analyzer supports data from a range of international educational studies conducted by IEA, OECD, UNESCO, and other organizations. Depending on the project, both data merging and statistical analysis are possible. Three environments are supported: SPSS, SAS, and R.</w:t>
      </w:r>
    </w:p>
    <w:tbl>
      <w:tblPr>
        <w:tblStyle w:val="Table3"/>
        <w:tblW w:w="9622.0" w:type="dxa"/>
        <w:jc w:val="left"/>
        <w:tblInd w:w="-108.0" w:type="dxa"/>
        <w:tblLayout w:type="fixed"/>
        <w:tblLook w:val="0020"/>
      </w:tblPr>
      <w:tblGrid>
        <w:gridCol w:w="4321"/>
        <w:gridCol w:w="2553"/>
        <w:gridCol w:w="1178"/>
        <w:gridCol w:w="982"/>
        <w:gridCol w:w="588"/>
        <w:tblGridChange w:id="0">
          <w:tblGrid>
            <w:gridCol w:w="4321"/>
            <w:gridCol w:w="2553"/>
            <w:gridCol w:w="1178"/>
            <w:gridCol w:w="982"/>
            <w:gridCol w:w="588"/>
          </w:tblGrid>
        </w:tblGridChange>
      </w:tblGrid>
      <w:tr>
        <w:trPr>
          <w:cantSplit w:val="0"/>
          <w:tblHeader w:val="1"/>
        </w:trPr>
        <w:tc>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Study / Organization</w:t>
            </w:r>
          </w:p>
        </w:tc>
        <w:tc>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Service Type</w:t>
            </w:r>
          </w:p>
        </w:tc>
        <w:tc>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SPSS</w:t>
            </w:r>
          </w:p>
        </w:tc>
        <w:tc>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SAS</w:t>
            </w:r>
          </w:p>
        </w:tc>
        <w:tc>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R</w:t>
            </w:r>
          </w:p>
        </w:tc>
      </w:tr>
      <w:tr>
        <w:trPr>
          <w:cantSplit w:val="0"/>
          <w:tblHeader w:val="0"/>
        </w:trPr>
        <w:tc>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TIMSS / PIRLS / ICILS / ICCS (IEA)</w:t>
            </w:r>
          </w:p>
        </w:tc>
        <w:tc>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Data Merging and Analysis</w:t>
            </w:r>
          </w:p>
        </w:tc>
        <w:tc>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tc>
      </w:tr>
      <w:tr>
        <w:trPr>
          <w:cantSplit w:val="0"/>
          <w:tblHeader w:val="0"/>
        </w:trPr>
        <w:tc>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TALIS / PIAAC / PISA (OECD)</w:t>
            </w:r>
          </w:p>
        </w:tc>
        <w:tc>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Analysis</w:t>
            </w:r>
          </w:p>
        </w:tc>
        <w:tc>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tc>
      </w:tr>
    </w:tbl>
    <w:bookmarkStart w:colFirst="0" w:colLast="0" w:name="bookmark=id.99sorzbyzr65" w:id="4"/>
    <w:bookmarkEnd w:id="4"/>
    <w:p w:rsidR="00000000" w:rsidDel="00000000" w:rsidP="00000000" w:rsidRDefault="00000000" w:rsidRPr="00000000" w14:paraId="0000003D">
      <w:pPr>
        <w:pStyle w:val="Heading3"/>
        <w:rPr/>
      </w:pPr>
      <w:bookmarkStart w:colFirst="0" w:colLast="0" w:name="_heading=h.zesb0uy43fgi" w:id="5"/>
      <w:bookmarkEnd w:id="5"/>
      <w:r w:rsidDel="00000000" w:rsidR="00000000" w:rsidRPr="00000000">
        <w:rPr>
          <w:rtl w:val="0"/>
        </w:rPr>
      </w:r>
    </w:p>
    <w:p w:rsidR="00000000" w:rsidDel="00000000" w:rsidP="00000000" w:rsidRDefault="00000000" w:rsidRPr="00000000" w14:paraId="0000003E">
      <w:pPr>
        <w:pStyle w:val="Heading3"/>
        <w:rPr/>
      </w:pPr>
      <w:r w:rsidDel="00000000" w:rsidR="00000000" w:rsidRPr="00000000">
        <w:rPr>
          <w:rtl w:val="0"/>
        </w:rPr>
        <w:t xml:space="preserve">1.2 Downloading Data</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Data and documentation (e.g., descriptions of dataset names and variables) from the studies are available on the following websites:</w:t>
      </w:r>
    </w:p>
    <w:p w:rsidR="00000000" w:rsidDel="00000000" w:rsidP="00000000" w:rsidRDefault="00000000" w:rsidRPr="00000000" w14:paraId="0000004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PISA</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hyperlink r:id="rId11">
        <w:r w:rsidDel="00000000" w:rsidR="00000000" w:rsidRPr="00000000">
          <w:rPr>
            <w:rFonts w:ascii="Aptos" w:cs="Aptos" w:eastAsia="Aptos" w:hAnsi="Aptos"/>
            <w:b w:val="0"/>
            <w:i w:val="0"/>
            <w:smallCaps w:val="0"/>
            <w:strike w:val="0"/>
            <w:color w:val="156082"/>
            <w:sz w:val="24"/>
            <w:szCs w:val="24"/>
            <w:u w:val="none"/>
            <w:shd w:fill="auto" w:val="clear"/>
            <w:vertAlign w:val="baseline"/>
            <w:rtl w:val="0"/>
          </w:rPr>
          <w:t xml:space="preserve">www.oecd.org/pisa/data</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TIMSS, PIRLS, ICCS, ICILS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hyperlink r:id="rId12">
        <w:r w:rsidDel="00000000" w:rsidR="00000000" w:rsidRPr="00000000">
          <w:rPr>
            <w:rFonts w:ascii="Aptos" w:cs="Aptos" w:eastAsia="Aptos" w:hAnsi="Aptos"/>
            <w:b w:val="0"/>
            <w:i w:val="0"/>
            <w:smallCaps w:val="0"/>
            <w:strike w:val="0"/>
            <w:color w:val="156082"/>
            <w:sz w:val="24"/>
            <w:szCs w:val="24"/>
            <w:u w:val="none"/>
            <w:shd w:fill="auto" w:val="clear"/>
            <w:vertAlign w:val="baseline"/>
            <w:rtl w:val="0"/>
          </w:rPr>
          <w:t xml:space="preserve">www.iea.nl/data-tools/repository</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PIAAC</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hyperlink r:id="rId13">
        <w:r w:rsidDel="00000000" w:rsidR="00000000" w:rsidRPr="00000000">
          <w:rPr>
            <w:rFonts w:ascii="Aptos" w:cs="Aptos" w:eastAsia="Aptos" w:hAnsi="Aptos"/>
            <w:b w:val="0"/>
            <w:i w:val="0"/>
            <w:smallCaps w:val="0"/>
            <w:strike w:val="0"/>
            <w:color w:val="156082"/>
            <w:sz w:val="24"/>
            <w:szCs w:val="24"/>
            <w:u w:val="none"/>
            <w:shd w:fill="auto" w:val="clear"/>
            <w:vertAlign w:val="baseline"/>
            <w:rtl w:val="0"/>
          </w:rPr>
          <w:t xml:space="preserve">www.oecd.org/skills/piaac/data</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TALIS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hyperlink r:id="rId14">
        <w:r w:rsidDel="00000000" w:rsidR="00000000" w:rsidRPr="00000000">
          <w:rPr>
            <w:rFonts w:ascii="Aptos" w:cs="Aptos" w:eastAsia="Aptos" w:hAnsi="Aptos"/>
            <w:b w:val="0"/>
            <w:i w:val="0"/>
            <w:smallCaps w:val="0"/>
            <w:strike w:val="0"/>
            <w:color w:val="156082"/>
            <w:sz w:val="24"/>
            <w:szCs w:val="24"/>
            <w:u w:val="none"/>
            <w:shd w:fill="auto" w:val="clear"/>
            <w:vertAlign w:val="baseline"/>
            <w:rtl w:val="0"/>
          </w:rPr>
          <w:t xml:space="preserve">www.oecd.org/en/about/programmes/talis</w:t>
        </w:r>
      </w:hyperlink>
      <w:r w:rsidDel="00000000" w:rsidR="00000000" w:rsidRPr="00000000">
        <w:rPr>
          <w:rtl w:val="0"/>
        </w:rPr>
      </w:r>
    </w:p>
    <w:bookmarkStart w:colFirst="0" w:colLast="0" w:name="bookmark=id.84z1ddpcsdev" w:id="6"/>
    <w:bookmarkEnd w:id="6"/>
    <w:p w:rsidR="00000000" w:rsidDel="00000000" w:rsidP="00000000" w:rsidRDefault="00000000" w:rsidRPr="00000000" w14:paraId="00000044">
      <w:pPr>
        <w:pStyle w:val="Heading3"/>
        <w:rPr/>
      </w:pPr>
      <w:bookmarkStart w:colFirst="0" w:colLast="0" w:name="_heading=h.af6opdpoj9ud" w:id="7"/>
      <w:bookmarkEnd w:id="7"/>
      <w:r w:rsidDel="00000000" w:rsidR="00000000" w:rsidRPr="00000000">
        <w:rPr>
          <w:rtl w:val="0"/>
        </w:rPr>
        <w:t xml:space="preserve">1.3 System Requirements, Installation, and Launching the Program:</w:t>
      </w:r>
    </w:p>
    <w:tbl>
      <w:tblPr>
        <w:tblStyle w:val="Table4"/>
        <w:tblW w:w="9694.0" w:type="dxa"/>
        <w:jc w:val="left"/>
        <w:tblInd w:w="19.999999999999982" w:type="dxa"/>
        <w:tblBorders>
          <w:top w:color="0758e5" w:space="0" w:sz="4" w:val="single"/>
          <w:left w:color="0758e5" w:space="0" w:sz="24" w:val="single"/>
          <w:bottom w:color="0758e5" w:space="0" w:sz="4" w:val="single"/>
          <w:right w:color="0758e5" w:space="0" w:sz="4" w:val="single"/>
        </w:tblBorders>
        <w:tblLayout w:type="fixed"/>
        <w:tblLook w:val="0000"/>
      </w:tblPr>
      <w:tblGrid>
        <w:gridCol w:w="9694"/>
        <w:tblGridChange w:id="0">
          <w:tblGrid>
            <w:gridCol w:w="9694"/>
          </w:tblGrid>
        </w:tblGridChange>
      </w:tblGrid>
      <w:tr>
        <w:trPr>
          <w:cantSplit w:val="1"/>
          <w:tblHeader w:val="0"/>
        </w:trPr>
        <w:tc>
          <w:tcPr>
            <w:shd w:fill="dae6fb" w:val="clear"/>
            <w:tcMar>
              <w:top w:w="92.0" w:type="dxa"/>
              <w:bottom w:w="92.0" w:type="dxa"/>
            </w:tcMa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152400" cy="152400"/>
                  <wp:effectExtent b="0" l="0" r="0" t="0"/>
                  <wp:docPr id="129"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52400" cy="152400"/>
                          </a:xfrm>
                          <a:prstGeom prst="rect"/>
                          <a:ln/>
                        </pic:spPr>
                      </pic:pic>
                    </a:graphicData>
                  </a:graphic>
                </wp:inline>
              </w:drawing>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System Requirements</w:t>
            </w:r>
          </w:p>
        </w:tc>
      </w:tr>
      <w:tr>
        <w:trPr>
          <w:cantSplit w:val="1"/>
          <w:tblHeader w:val="0"/>
        </w:trPr>
        <w:tc>
          <w:tcPr>
            <w:tcMar>
              <w:top w:w="108.0" w:type="dxa"/>
              <w:bottom w:w="108.0" w:type="dxa"/>
            </w:tcM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Using the program requires:</w:t>
            </w:r>
          </w:p>
          <w:p w:rsidR="00000000" w:rsidDel="00000000" w:rsidP="00000000" w:rsidRDefault="00000000" w:rsidRPr="00000000" w14:paraId="0000004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Operating System</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Windows 10 or 11</w:t>
            </w:r>
          </w:p>
          <w:p w:rsidR="00000000" w:rsidDel="00000000" w:rsidP="00000000" w:rsidRDefault="00000000" w:rsidRPr="00000000" w14:paraId="00000048">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36" w:before="36" w:line="240" w:lineRule="auto"/>
              <w:ind w:left="144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macOS users can only use the program via a virtual machine with Windows installed (e.g., Parallels Desktop or VirtualBox)</w:t>
            </w:r>
          </w:p>
          <w:p w:rsidR="00000000" w:rsidDel="00000000" w:rsidP="00000000" w:rsidRDefault="00000000" w:rsidRPr="00000000" w14:paraId="0000004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An installed analytical environment</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A">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36" w:before="36" w:line="240" w:lineRule="auto"/>
              <w:ind w:left="144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IBM SPSS Statistics</w:t>
            </w:r>
          </w:p>
          <w:p w:rsidR="00000000" w:rsidDel="00000000" w:rsidP="00000000" w:rsidRDefault="00000000" w:rsidRPr="00000000" w14:paraId="0000004B">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36" w:before="36" w:line="240" w:lineRule="auto"/>
              <w:ind w:left="144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SAS</w:t>
            </w:r>
          </w:p>
          <w:p w:rsidR="00000000" w:rsidDel="00000000" w:rsidP="00000000" w:rsidRDefault="00000000" w:rsidRPr="00000000" w14:paraId="0000004C">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36" w:before="36" w:line="240" w:lineRule="auto"/>
              <w:ind w:left="144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R (version 4.2.0 or later) with RStudio</w:t>
            </w:r>
          </w:p>
          <w:p w:rsidR="00000000" w:rsidDel="00000000" w:rsidP="00000000" w:rsidRDefault="00000000" w:rsidRPr="00000000" w14:paraId="0000004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Access to Databases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downloaded to the disk in </w:t>
            </w:r>
            <w:r w:rsidDel="00000000" w:rsidR="00000000" w:rsidRPr="00000000">
              <w:rPr>
                <w:rFonts w:ascii="Consolas" w:cs="Consolas" w:eastAsia="Consolas" w:hAnsi="Consolas"/>
                <w:b w:val="0"/>
                <w:i w:val="0"/>
                <w:smallCaps w:val="0"/>
                <w:strike w:val="0"/>
                <w:color w:val="000000"/>
                <w:sz w:val="22"/>
                <w:szCs w:val="22"/>
                <w:u w:val="none"/>
                <w:shd w:fill="auto" w:val="clear"/>
                <w:vertAlign w:val="baseline"/>
                <w:rtl w:val="0"/>
              </w:rPr>
              <w:t xml:space="preserve">.sav</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r w:rsidDel="00000000" w:rsidR="00000000" w:rsidRPr="00000000">
              <w:rPr>
                <w:rFonts w:ascii="Consolas" w:cs="Consolas" w:eastAsia="Consolas" w:hAnsi="Consolas"/>
                <w:b w:val="0"/>
                <w:i w:val="0"/>
                <w:smallCaps w:val="0"/>
                <w:strike w:val="0"/>
                <w:color w:val="000000"/>
                <w:sz w:val="22"/>
                <w:szCs w:val="22"/>
                <w:u w:val="none"/>
                <w:shd w:fill="auto" w:val="clear"/>
                <w:vertAlign w:val="baseline"/>
                <w:rtl w:val="0"/>
              </w:rPr>
              <w:t xml:space="preserve">.sas7bdat</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or </w:t>
            </w:r>
            <w:r w:rsidDel="00000000" w:rsidR="00000000" w:rsidRPr="00000000">
              <w:rPr>
                <w:rFonts w:ascii="Consolas" w:cs="Consolas" w:eastAsia="Consolas" w:hAnsi="Consolas"/>
                <w:b w:val="0"/>
                <w:i w:val="0"/>
                <w:smallCaps w:val="0"/>
                <w:strike w:val="0"/>
                <w:color w:val="000000"/>
                <w:sz w:val="22"/>
                <w:szCs w:val="22"/>
                <w:u w:val="none"/>
                <w:shd w:fill="auto" w:val="clear"/>
                <w:vertAlign w:val="baseline"/>
                <w:rtl w:val="0"/>
              </w:rPr>
              <w:t xml:space="preserve">.RData</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format from the IEA Data and Tools Repository or the OECD website.</w:t>
            </w:r>
          </w:p>
        </w:tc>
      </w:tr>
    </w:tbl>
    <w:bookmarkStart w:colFirst="0" w:colLast="0" w:name="bookmark=id.3k71dblq89qv" w:id="8"/>
    <w:bookmarkEnd w:id="8"/>
    <w:p w:rsidR="00000000" w:rsidDel="00000000" w:rsidP="00000000" w:rsidRDefault="00000000" w:rsidRPr="00000000" w14:paraId="0000004E">
      <w:pPr>
        <w:pStyle w:val="Heading4"/>
        <w:rPr/>
      </w:pPr>
      <w:bookmarkStart w:colFirst="0" w:colLast="0" w:name="_heading=h.2cj10eg5hd0b" w:id="9"/>
      <w:bookmarkEnd w:id="9"/>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pStyle w:val="Heading4"/>
        <w:rPr/>
      </w:pPr>
      <w:r w:rsidDel="00000000" w:rsidR="00000000" w:rsidRPr="00000000">
        <w:rPr>
          <w:rtl w:val="0"/>
        </w:rPr>
      </w:r>
    </w:p>
    <w:p w:rsidR="00000000" w:rsidDel="00000000" w:rsidP="00000000" w:rsidRDefault="00000000" w:rsidRPr="00000000" w14:paraId="00000051">
      <w:pPr>
        <w:pStyle w:val="Heading4"/>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pStyle w:val="Heading4"/>
        <w:rPr/>
      </w:pPr>
      <w:r w:rsidDel="00000000" w:rsidR="00000000" w:rsidRPr="00000000">
        <w:rPr>
          <w:rtl w:val="0"/>
        </w:rPr>
        <w:t xml:space="preserve">1.3.1 Program Installation</w:t>
      </w:r>
    </w:p>
    <w:p w:rsidR="00000000" w:rsidDel="00000000" w:rsidP="00000000" w:rsidRDefault="00000000" w:rsidRPr="00000000" w14:paraId="0000005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Download the latest version of the installer from: https://www.iea.nl/data-tools/tools</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5334000" cy="3091505"/>
            <wp:effectExtent b="0" l="0" r="0" t="0"/>
            <wp:docPr id="132"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334000" cy="309150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Save the installation file to any folder and run the installer as an administrator</w:t>
      </w:r>
    </w:p>
    <w:p w:rsidR="00000000" w:rsidDel="00000000" w:rsidP="00000000" w:rsidRDefault="00000000" w:rsidRPr="00000000" w14:paraId="0000005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Follow the installation process, keeping the default settings.</w:t>
      </w:r>
    </w:p>
    <w:p w:rsidR="00000000" w:rsidDel="00000000" w:rsidP="00000000" w:rsidRDefault="00000000" w:rsidRPr="00000000" w14:paraId="0000005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Once installation is complete, launch the program: Start Menu → IEA → IEA IDB Analyzer.</w:t>
      </w:r>
    </w:p>
    <w:bookmarkStart w:colFirst="0" w:colLast="0" w:name="bookmark=id.t2xsh96cueyc" w:id="10"/>
    <w:bookmarkEnd w:id="10"/>
    <w:p w:rsidR="00000000" w:rsidDel="00000000" w:rsidP="00000000" w:rsidRDefault="00000000" w:rsidRPr="00000000" w14:paraId="00000059">
      <w:pPr>
        <w:pStyle w:val="Heading4"/>
        <w:rPr/>
      </w:pPr>
      <w:bookmarkStart w:colFirst="0" w:colLast="0" w:name="_heading=h.3wqtxlc9p9fh" w:id="11"/>
      <w:bookmarkEnd w:id="11"/>
      <w:r w:rsidDel="00000000" w:rsidR="00000000" w:rsidRPr="00000000">
        <w:rPr>
          <w:rtl w:val="0"/>
        </w:rPr>
        <w:t xml:space="preserve">1.3.2 Launching the Application and Available Modules</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Upon launching the program, the main screen will appear allowing you to select your statistical environment: SPSS, SAS, or R.</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5334000" cy="2089517"/>
            <wp:effectExtent b="0" l="0" r="0" t="0"/>
            <wp:docPr id="131"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5334000" cy="2089517"/>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Depending on the selected environment, three modules are available:</w:t>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Convert Module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 available when R is selected, it allows converting </w:t>
      </w:r>
      <w:r w:rsidDel="00000000" w:rsidR="00000000" w:rsidRPr="00000000">
        <w:rPr>
          <w:rFonts w:ascii="Consolas" w:cs="Consolas" w:eastAsia="Consolas" w:hAnsi="Consolas"/>
          <w:b w:val="0"/>
          <w:i w:val="0"/>
          <w:smallCaps w:val="0"/>
          <w:strike w:val="0"/>
          <w:color w:val="000000"/>
          <w:sz w:val="22"/>
          <w:szCs w:val="22"/>
          <w:u w:val="none"/>
          <w:shd w:fill="auto" w:val="clear"/>
          <w:vertAlign w:val="baseline"/>
          <w:rtl w:val="0"/>
        </w:rPr>
        <w:t xml:space="preserve">.sav</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files to </w:t>
      </w:r>
      <w:r w:rsidDel="00000000" w:rsidR="00000000" w:rsidRPr="00000000">
        <w:rPr>
          <w:rFonts w:ascii="Consolas" w:cs="Consolas" w:eastAsia="Consolas" w:hAnsi="Consolas"/>
          <w:b w:val="0"/>
          <w:i w:val="0"/>
          <w:smallCaps w:val="0"/>
          <w:strike w:val="0"/>
          <w:color w:val="000000"/>
          <w:sz w:val="22"/>
          <w:szCs w:val="22"/>
          <w:u w:val="none"/>
          <w:shd w:fill="auto" w:val="clear"/>
          <w:vertAlign w:val="baseline"/>
          <w:rtl w:val="0"/>
        </w:rPr>
        <w:t xml:space="preserve">.RData</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format</w:t>
      </w:r>
    </w:p>
    <w:p w:rsidR="00000000" w:rsidDel="00000000" w:rsidP="00000000" w:rsidRDefault="00000000" w:rsidRPr="00000000" w14:paraId="000000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Merge Module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 used for merging data from different files, which usually correspond to different tools/databases from a given study (e.g., students, teachers, schools) or databases from several countries within a given study</w:t>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Analysis Module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 allows preparing scripts or syntaxes for data analysis (in SPSS, SAS, or R).</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9694.0" w:type="dxa"/>
        <w:jc w:val="left"/>
        <w:tblInd w:w="19.999999999999982" w:type="dxa"/>
        <w:tblBorders>
          <w:top w:color="00a047" w:space="0" w:sz="4" w:val="single"/>
          <w:left w:color="00a047" w:space="0" w:sz="24" w:val="single"/>
          <w:bottom w:color="00a047" w:space="0" w:sz="4" w:val="single"/>
          <w:right w:color="00a047" w:space="0" w:sz="4" w:val="single"/>
        </w:tblBorders>
        <w:tblLayout w:type="fixed"/>
        <w:tblLook w:val="0000"/>
      </w:tblPr>
      <w:tblGrid>
        <w:gridCol w:w="9694"/>
        <w:tblGridChange w:id="0">
          <w:tblGrid>
            <w:gridCol w:w="9694"/>
          </w:tblGrid>
        </w:tblGridChange>
      </w:tblGrid>
      <w:tr>
        <w:trPr>
          <w:cantSplit w:val="1"/>
          <w:tblHeader w:val="0"/>
        </w:trPr>
        <w:tc>
          <w:tcPr>
            <w:shd w:fill="ccf1e3" w:val="clear"/>
            <w:tcMar>
              <w:top w:w="92.0" w:type="dxa"/>
              <w:bottom w:w="92.0" w:type="dxa"/>
            </w:tcMa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152400" cy="152400"/>
                  <wp:effectExtent b="0" l="0" r="0" t="0"/>
                  <wp:docPr id="134"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152400" cy="152400"/>
                          </a:xfrm>
                          <a:prstGeom prst="rect"/>
                          <a:ln/>
                        </pic:spPr>
                      </pic:pic>
                    </a:graphicData>
                  </a:graphic>
                </wp:inline>
              </w:drawing>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Recommended workflow</w:t>
            </w:r>
          </w:p>
        </w:tc>
      </w:tr>
      <w:tr>
        <w:trPr>
          <w:cantSplit w:val="1"/>
          <w:tblHeader w:val="0"/>
        </w:trPr>
        <w:tc>
          <w:tcPr>
            <w:tcMar>
              <w:top w:w="108.0" w:type="dxa"/>
              <w:bottom w:w="108.0" w:type="dxa"/>
            </w:tcMa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1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Usually, you start with the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Merge Module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and then move on to the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Analysis Module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When working in R, you may need to first use the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Convert Module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to convert the data files to a format supported by RStudio.</w:t>
            </w:r>
          </w:p>
        </w:tc>
      </w:tr>
    </w:tbl>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Additionally, the following buttons are available on the home screen:</w:t>
      </w:r>
    </w:p>
    <w:p w:rsidR="00000000" w:rsidDel="00000000" w:rsidP="00000000" w:rsidRDefault="00000000" w:rsidRPr="00000000" w14:paraId="000000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View the Help Manual</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 opens the user manual.</w:t>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Access the Sample Files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 allows you to download sample data.</w:t>
      </w:r>
    </w:p>
    <w:p w:rsidR="00000000" w:rsidDel="00000000" w:rsidP="00000000" w:rsidRDefault="00000000" w:rsidRPr="00000000" w14:paraId="000000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Exit</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 closes the program.</w:t>
      </w:r>
    </w:p>
    <w:bookmarkStart w:colFirst="0" w:colLast="0" w:name="bookmark=id.krciz1phdjri" w:id="12"/>
    <w:bookmarkEnd w:id="12"/>
    <w:p w:rsidR="00000000" w:rsidDel="00000000" w:rsidP="00000000" w:rsidRDefault="00000000" w:rsidRPr="00000000" w14:paraId="00000069">
      <w:pPr>
        <w:pStyle w:val="Heading2"/>
        <w:rPr/>
      </w:pPr>
      <w:bookmarkStart w:colFirst="0" w:colLast="0" w:name="_heading=h.scb2takj69k0" w:id="13"/>
      <w:bookmarkEnd w:id="13"/>
      <w:r w:rsidDel="00000000" w:rsidR="00000000" w:rsidRPr="00000000">
        <w:rPr>
          <w:rtl w:val="0"/>
        </w:rPr>
        <w:t xml:space="preserve">2 Program Modules</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IEA IDB Analyzer consists of three modules that together enable the full cycle of preparing and analyzing data from international educational studies: from file conversion, to merging, to generating analytical code.</w:t>
      </w:r>
    </w:p>
    <w:bookmarkStart w:colFirst="0" w:colLast="0" w:name="bookmark=id.af8ri99fk8jx" w:id="14"/>
    <w:bookmarkEnd w:id="14"/>
    <w:p w:rsidR="00000000" w:rsidDel="00000000" w:rsidP="00000000" w:rsidRDefault="00000000" w:rsidRPr="00000000" w14:paraId="0000006B">
      <w:pPr>
        <w:pStyle w:val="Heading3"/>
        <w:rPr/>
      </w:pPr>
      <w:bookmarkStart w:colFirst="0" w:colLast="0" w:name="_heading=h.4d6z6zjrvr9b" w:id="15"/>
      <w:bookmarkEnd w:id="15"/>
      <w:r w:rsidDel="00000000" w:rsidR="00000000" w:rsidRPr="00000000">
        <w:rPr>
          <w:rtl w:val="0"/>
        </w:rPr>
        <w:t xml:space="preserve">2.1 Convert Module</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Convert Module is used for converting data files in </w:t>
      </w:r>
      <w:r w:rsidDel="00000000" w:rsidR="00000000" w:rsidRPr="00000000">
        <w:rPr>
          <w:rFonts w:ascii="Consolas" w:cs="Consolas" w:eastAsia="Consolas" w:hAnsi="Consolas"/>
          <w:b w:val="0"/>
          <w:i w:val="0"/>
          <w:smallCaps w:val="0"/>
          <w:strike w:val="0"/>
          <w:color w:val="000000"/>
          <w:sz w:val="22"/>
          <w:szCs w:val="22"/>
          <w:u w:val="none"/>
          <w:shd w:fill="auto" w:val="clear"/>
          <w:vertAlign w:val="baseline"/>
          <w:rtl w:val="0"/>
        </w:rPr>
        <w:t xml:space="preserve">.sav format</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(SPSS) to </w:t>
      </w:r>
      <w:r w:rsidDel="00000000" w:rsidR="00000000" w:rsidRPr="00000000">
        <w:rPr>
          <w:rFonts w:ascii="Consolas" w:cs="Consolas" w:eastAsia="Consolas" w:hAnsi="Consolas"/>
          <w:b w:val="0"/>
          <w:i w:val="0"/>
          <w:smallCaps w:val="0"/>
          <w:strike w:val="0"/>
          <w:color w:val="000000"/>
          <w:sz w:val="22"/>
          <w:szCs w:val="22"/>
          <w:u w:val="none"/>
          <w:shd w:fill="auto" w:val="clear"/>
          <w:vertAlign w:val="baseline"/>
          <w:rtl w:val="0"/>
        </w:rPr>
        <w:t xml:space="preserve">.RData format</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(R), which is required for further analysis in the R environment. This is the first step if you plan to conduct analyses in R and the databases you have are in </w:t>
      </w:r>
      <w:r w:rsidDel="00000000" w:rsidR="00000000" w:rsidRPr="00000000">
        <w:rPr>
          <w:rFonts w:ascii="Consolas" w:cs="Consolas" w:eastAsia="Consolas" w:hAnsi="Consolas"/>
          <w:b w:val="0"/>
          <w:i w:val="0"/>
          <w:smallCaps w:val="0"/>
          <w:strike w:val="0"/>
          <w:color w:val="000000"/>
          <w:sz w:val="22"/>
          <w:szCs w:val="22"/>
          <w:u w:val="none"/>
          <w:shd w:fill="auto" w:val="clear"/>
          <w:vertAlign w:val="baseline"/>
          <w:rtl w:val="0"/>
        </w:rPr>
        <w:t xml:space="preserve">.sav</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format.</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Module functions:</w:t>
      </w: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Automatic detection of all </w:t>
      </w:r>
      <w:r w:rsidDel="00000000" w:rsidR="00000000" w:rsidRPr="00000000">
        <w:rPr>
          <w:rFonts w:ascii="Consolas" w:cs="Consolas" w:eastAsia="Consolas" w:hAnsi="Consolas"/>
          <w:b w:val="0"/>
          <w:i w:val="0"/>
          <w:smallCaps w:val="0"/>
          <w:strike w:val="0"/>
          <w:color w:val="000000"/>
          <w:sz w:val="22"/>
          <w:szCs w:val="22"/>
          <w:u w:val="none"/>
          <w:shd w:fill="auto" w:val="clear"/>
          <w:vertAlign w:val="baseline"/>
          <w:rtl w:val="0"/>
        </w:rPr>
        <w:t xml:space="preserve">.sav</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files in the specified source directory</w:t>
      </w:r>
    </w:p>
    <w:p w:rsidR="00000000" w:rsidDel="00000000" w:rsidP="00000000" w:rsidRDefault="00000000" w:rsidRPr="00000000" w14:paraId="000000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Generation of a script to convert SPSS data to R</w:t>
      </w:r>
    </w:p>
    <w:p w:rsidR="00000000" w:rsidDel="00000000" w:rsidP="00000000" w:rsidRDefault="00000000" w:rsidRPr="00000000" w14:paraId="0000007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Conversion of variables, preserving the labels for names and values</w:t>
      </w:r>
    </w:p>
    <w:p w:rsidR="00000000" w:rsidDel="00000000" w:rsidP="00000000" w:rsidRDefault="00000000" w:rsidRPr="00000000" w14:paraId="0000007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Saving the output files to the destination folder and opening the completed script in RStudio or another editor</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9694.0" w:type="dxa"/>
        <w:jc w:val="left"/>
        <w:tblInd w:w="19.999999999999982" w:type="dxa"/>
        <w:tblBorders>
          <w:top w:color="eb9113" w:space="0" w:sz="4" w:val="single"/>
          <w:left w:color="eb9113" w:space="0" w:sz="24" w:val="single"/>
          <w:bottom w:color="eb9113" w:space="0" w:sz="4" w:val="single"/>
          <w:right w:color="eb9113" w:space="0" w:sz="4" w:val="single"/>
        </w:tblBorders>
        <w:tblLayout w:type="fixed"/>
        <w:tblLook w:val="0000"/>
      </w:tblPr>
      <w:tblGrid>
        <w:gridCol w:w="9694"/>
        <w:tblGridChange w:id="0">
          <w:tblGrid>
            <w:gridCol w:w="9694"/>
          </w:tblGrid>
        </w:tblGridChange>
      </w:tblGrid>
      <w:tr>
        <w:trPr>
          <w:cantSplit w:val="1"/>
          <w:tblHeader w:val="0"/>
        </w:trPr>
        <w:tc>
          <w:tcPr>
            <w:shd w:fill="fcefdc" w:val="clear"/>
            <w:tcMar>
              <w:top w:w="92.0" w:type="dxa"/>
              <w:bottom w:w="92.0" w:type="dxa"/>
            </w:tcMar>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152400" cy="152400"/>
                  <wp:effectExtent b="0" l="0" r="0" t="0"/>
                  <wp:docPr id="133"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152400" cy="152400"/>
                          </a:xfrm>
                          <a:prstGeom prst="rect"/>
                          <a:ln/>
                        </pic:spPr>
                      </pic:pic>
                    </a:graphicData>
                  </a:graphic>
                </wp:inline>
              </w:drawing>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Requirements and Recommendations</w:t>
            </w:r>
          </w:p>
        </w:tc>
      </w:tr>
      <w:tr>
        <w:trPr>
          <w:cantSplit w:val="1"/>
          <w:tblHeader w:val="0"/>
        </w:trPr>
        <w:tc>
          <w:tcPr>
            <w:tcMar>
              <w:top w:w="108.0" w:type="dxa"/>
              <w:bottom w:w="108.0" w:type="dxa"/>
            </w:tcMar>
          </w:tcPr>
          <w:p w:rsidR="00000000" w:rsidDel="00000000" w:rsidP="00000000" w:rsidRDefault="00000000" w:rsidRPr="00000000" w14:paraId="0000007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All variables must have labels assigned; otherwise, errors may occur</w:t>
            </w:r>
          </w:p>
          <w:p w:rsidR="00000000" w:rsidDel="00000000" w:rsidP="00000000" w:rsidRDefault="00000000" w:rsidRPr="00000000" w14:paraId="0000007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It is recommended to keep source and output files in separate folders</w:t>
            </w:r>
          </w:p>
          <w:p w:rsidR="00000000" w:rsidDel="00000000" w:rsidP="00000000" w:rsidRDefault="00000000" w:rsidRPr="00000000" w14:paraId="0000007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R and RStudio must be installed.</w:t>
            </w:r>
          </w:p>
        </w:tc>
      </w:tr>
    </w:tbl>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Usage steps:</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4466122" cy="2839452"/>
            <wp:effectExtent b="0" l="0" r="0" t="0"/>
            <wp:docPr id="136"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4466122" cy="2839452"/>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Launch the program and select the “R” environment</w:t>
      </w:r>
    </w:p>
    <w:p w:rsidR="00000000" w:rsidDel="00000000" w:rsidP="00000000" w:rsidRDefault="00000000" w:rsidRPr="00000000" w14:paraId="0000007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Click the “Convert Files from SPSS to R” button</w:t>
      </w:r>
    </w:p>
    <w:p w:rsidR="00000000" w:rsidDel="00000000" w:rsidP="00000000" w:rsidRDefault="00000000" w:rsidRPr="00000000" w14:paraId="0000007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Specify the source directory containing the </w:t>
      </w:r>
      <w:r w:rsidDel="00000000" w:rsidR="00000000" w:rsidRPr="00000000">
        <w:rPr>
          <w:rFonts w:ascii="Consolas" w:cs="Consolas" w:eastAsia="Consolas" w:hAnsi="Consolas"/>
          <w:b w:val="0"/>
          <w:i w:val="0"/>
          <w:smallCaps w:val="0"/>
          <w:strike w:val="0"/>
          <w:color w:val="000000"/>
          <w:sz w:val="22"/>
          <w:szCs w:val="22"/>
          <w:u w:val="none"/>
          <w:shd w:fill="auto" w:val="clear"/>
          <w:vertAlign w:val="baseline"/>
          <w:rtl w:val="0"/>
        </w:rPr>
        <w:t xml:space="preserve">.sav</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files</w:t>
      </w:r>
    </w:p>
    <w:p w:rsidR="00000000" w:rsidDel="00000000" w:rsidP="00000000" w:rsidRDefault="00000000" w:rsidRPr="00000000" w14:paraId="0000007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Specify the target directory where the </w:t>
      </w:r>
      <w:r w:rsidDel="00000000" w:rsidR="00000000" w:rsidRPr="00000000">
        <w:rPr>
          <w:rFonts w:ascii="Consolas" w:cs="Consolas" w:eastAsia="Consolas" w:hAnsi="Consolas"/>
          <w:b w:val="0"/>
          <w:i w:val="0"/>
          <w:smallCaps w:val="0"/>
          <w:strike w:val="0"/>
          <w:color w:val="000000"/>
          <w:sz w:val="22"/>
          <w:szCs w:val="22"/>
          <w:u w:val="none"/>
          <w:shd w:fill="auto" w:val="clear"/>
          <w:vertAlign w:val="baseline"/>
          <w:rtl w:val="0"/>
        </w:rPr>
        <w:t xml:space="preserve">.RData</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files should be saved</w:t>
      </w:r>
    </w:p>
    <w:p w:rsidR="00000000" w:rsidDel="00000000" w:rsidP="00000000" w:rsidRDefault="00000000" w:rsidRPr="00000000" w14:paraId="0000008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Define the name of the conversion script</w:t>
      </w:r>
    </w:p>
    <w:p w:rsidR="00000000" w:rsidDel="00000000" w:rsidP="00000000" w:rsidRDefault="00000000" w:rsidRPr="00000000" w14:paraId="0000008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Click “Convert” and run the generated conversion script in RStudio</w:t>
      </w:r>
    </w:p>
    <w:bookmarkStart w:colFirst="0" w:colLast="0" w:name="bookmark=id.5i0evaf9p1jk" w:id="16"/>
    <w:bookmarkEnd w:id="16"/>
    <w:p w:rsidR="00000000" w:rsidDel="00000000" w:rsidP="00000000" w:rsidRDefault="00000000" w:rsidRPr="00000000" w14:paraId="00000082">
      <w:pPr>
        <w:pStyle w:val="Heading3"/>
        <w:rPr/>
      </w:pPr>
      <w:bookmarkStart w:colFirst="0" w:colLast="0" w:name="_heading=h.wb3hqix0pt1e" w:id="17"/>
      <w:bookmarkEnd w:id="17"/>
      <w:r w:rsidDel="00000000" w:rsidR="00000000" w:rsidRPr="00000000">
        <w:rPr>
          <w:rtl w:val="0"/>
        </w:rPr>
        <w:t xml:space="preserve">2.2 Merge Module</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Merge Module is used for combining data from multiple countries and different levels and sources (e.g., students, teachers, schools), creating a single coherent dataset ready for analysis. The program automatically generates code in the selected language (SPSS, SAS, or R) that enables the creation of an integrated data file according to the user’s configuration.</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Main Functions of the Module:</w:t>
      </w: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Merging data from multiple countries participating in the study</w:t>
      </w:r>
    </w:p>
    <w:p w:rsidR="00000000" w:rsidDel="00000000" w:rsidP="00000000" w:rsidRDefault="00000000" w:rsidRPr="00000000" w14:paraId="0000008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Integrating files from different respondent types (e.g., students, schools, teachers)</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Selecting variables for analysis – the ability to limit the number of variables in the created dataset</w:t>
      </w:r>
    </w:p>
    <w:p w:rsidR="00000000" w:rsidDel="00000000" w:rsidP="00000000" w:rsidRDefault="00000000" w:rsidRPr="00000000" w14:paraId="0000008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Editing the country list (changing labels, adding or removing items)</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9694.0" w:type="dxa"/>
        <w:jc w:val="left"/>
        <w:tblInd w:w="19.999999999999982" w:type="dxa"/>
        <w:tblBorders>
          <w:top w:color="eb9113" w:space="0" w:sz="4" w:val="single"/>
          <w:left w:color="eb9113" w:space="0" w:sz="24" w:val="single"/>
          <w:bottom w:color="eb9113" w:space="0" w:sz="4" w:val="single"/>
          <w:right w:color="eb9113" w:space="0" w:sz="4" w:val="single"/>
        </w:tblBorders>
        <w:tblLayout w:type="fixed"/>
        <w:tblLook w:val="0000"/>
      </w:tblPr>
      <w:tblGrid>
        <w:gridCol w:w="9694"/>
        <w:tblGridChange w:id="0">
          <w:tblGrid>
            <w:gridCol w:w="9694"/>
          </w:tblGrid>
        </w:tblGridChange>
      </w:tblGrid>
      <w:tr>
        <w:trPr>
          <w:cantSplit w:val="1"/>
          <w:tblHeader w:val="0"/>
        </w:trPr>
        <w:tc>
          <w:tcPr>
            <w:shd w:fill="fcefdc" w:val="clear"/>
            <w:tcMar>
              <w:top w:w="92.0" w:type="dxa"/>
              <w:bottom w:w="92.0" w:type="dxa"/>
            </w:tcMar>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152400" cy="152400"/>
                  <wp:effectExtent b="0" l="0" r="0" t="0"/>
                  <wp:docPr id="135"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152400" cy="152400"/>
                          </a:xfrm>
                          <a:prstGeom prst="rect"/>
                          <a:ln/>
                        </pic:spPr>
                      </pic:pic>
                    </a:graphicData>
                  </a:graphic>
                </wp:inline>
              </w:drawing>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Limitations and notes</w:t>
            </w:r>
          </w:p>
        </w:tc>
      </w:tr>
      <w:tr>
        <w:trPr>
          <w:cantSplit w:val="1"/>
          <w:tblHeader w:val="0"/>
        </w:trPr>
        <w:tc>
          <w:tcPr>
            <w:tcMar>
              <w:top w:w="108.0" w:type="dxa"/>
              <w:bottom w:w="108.0" w:type="dxa"/>
            </w:tcMar>
          </w:tcPr>
          <w:p w:rsidR="00000000" w:rsidDel="00000000" w:rsidP="00000000" w:rsidRDefault="00000000" w:rsidRPr="00000000" w14:paraId="0000008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module supports only one study edition at a time (e.g. PIRLS 2016). To merge data from different cycles (e.g., PIRLS 2011 and 2016), datasets must be prepared outside the program (instructions on how to do this are often provided in the technical reports of the study data)</w:t>
            </w:r>
          </w:p>
          <w:p w:rsidR="00000000" w:rsidDel="00000000" w:rsidP="00000000" w:rsidRDefault="00000000" w:rsidRPr="00000000" w14:paraId="0000008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In the R environment, the Merge Module uses the </w:t>
            </w:r>
            <w:r w:rsidDel="00000000" w:rsidR="00000000" w:rsidRPr="00000000">
              <w:rPr>
                <w:rFonts w:ascii="Consolas" w:cs="Consolas" w:eastAsia="Consolas" w:hAnsi="Consolas"/>
                <w:b w:val="0"/>
                <w:i w:val="0"/>
                <w:smallCaps w:val="0"/>
                <w:strike w:val="0"/>
                <w:color w:val="000000"/>
                <w:sz w:val="22"/>
                <w:szCs w:val="22"/>
                <w:u w:val="none"/>
                <w:shd w:fill="auto" w:val="clear"/>
                <w:vertAlign w:val="baseline"/>
                <w:rtl w:val="0"/>
              </w:rPr>
              <w:t xml:space="preserve">left_join()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function from the </w:t>
            </w:r>
            <w:r w:rsidDel="00000000" w:rsidR="00000000" w:rsidRPr="00000000">
              <w:rPr>
                <w:rFonts w:ascii="Consolas" w:cs="Consolas" w:eastAsia="Consolas" w:hAnsi="Consolas"/>
                <w:b w:val="0"/>
                <w:i w:val="0"/>
                <w:smallCaps w:val="0"/>
                <w:strike w:val="0"/>
                <w:color w:val="000000"/>
                <w:sz w:val="22"/>
                <w:szCs w:val="22"/>
                <w:u w:val="none"/>
                <w:shd w:fill="auto" w:val="clear"/>
                <w:vertAlign w:val="baseline"/>
                <w:rtl w:val="0"/>
              </w:rPr>
              <w:t xml:space="preserve">dplyr</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package. To maintain compatibility, it is recommended to use the same method when combining data outside the program</w:t>
            </w:r>
          </w:p>
          <w:p w:rsidR="00000000" w:rsidDel="00000000" w:rsidP="00000000" w:rsidRDefault="00000000" w:rsidRPr="00000000" w14:paraId="0000008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program identifies files based on their names, which must follow predefined patterns. Therefore, the output file should not be saved in the same folder as the source files, as this may lead to errors</w:t>
            </w:r>
          </w:p>
          <w:p w:rsidR="00000000" w:rsidDel="00000000" w:rsidP="00000000" w:rsidRDefault="00000000" w:rsidRPr="00000000" w14:paraId="0000008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Files must contain variable and value labels (especially important in the R environment), and the file structure must be consistent across countries</w:t>
            </w:r>
          </w:p>
        </w:tc>
      </w:tr>
    </w:tbl>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Usage steps:</w:t>
      </w:r>
      <w:r w:rsidDel="00000000" w:rsidR="00000000" w:rsidRPr="00000000">
        <w:rPr>
          <w:rtl w:val="0"/>
        </w:rPr>
      </w:r>
    </w:p>
    <w:p w:rsidR="00000000" w:rsidDel="00000000" w:rsidP="00000000" w:rsidRDefault="00000000" w:rsidRPr="00000000" w14:paraId="00000091">
      <w:pPr>
        <w:numPr>
          <w:ilvl w:val="0"/>
          <w:numId w:val="8"/>
        </w:numPr>
        <w:ind w:left="720" w:hanging="360"/>
        <w:rPr/>
      </w:pPr>
      <w:r w:rsidDel="00000000" w:rsidR="00000000" w:rsidRPr="00000000">
        <w:rPr>
          <w:b w:val="1"/>
          <w:rtl w:val="0"/>
        </w:rPr>
        <w:t xml:space="preserve">Launch the program</w:t>
      </w:r>
      <w:r w:rsidDel="00000000" w:rsidR="00000000" w:rsidRPr="00000000">
        <w:rPr>
          <w:rtl w:val="0"/>
        </w:rPr>
        <w:t xml:space="preserve"> and select the statistical environment (SPSS, SAS, or R). Go to the Merge Module tab</w:t>
      </w:r>
    </w:p>
    <w:p w:rsidR="00000000" w:rsidDel="00000000" w:rsidP="00000000" w:rsidRDefault="00000000" w:rsidRPr="00000000" w14:paraId="00000092">
      <w:pPr>
        <w:numPr>
          <w:ilvl w:val="0"/>
          <w:numId w:val="8"/>
        </w:numPr>
        <w:ind w:left="720" w:hanging="360"/>
        <w:rPr/>
      </w:pPr>
      <w:r w:rsidDel="00000000" w:rsidR="00000000" w:rsidRPr="00000000">
        <w:rPr>
          <w:b w:val="1"/>
          <w:rtl w:val="0"/>
        </w:rPr>
        <w:t xml:space="preserve">Select the data folder</w:t>
      </w:r>
      <w:r w:rsidDel="00000000" w:rsidR="00000000" w:rsidRPr="00000000">
        <w:rPr>
          <w:rtl w:val="0"/>
        </w:rPr>
        <w:t xml:space="preserve">: Choose the folder containing the previously downloaded data files from the selected study. All files must be in the same folder. The program will automatically recognize the study, cycle, and population, displaying a list of available countries</w:t>
      </w:r>
    </w:p>
    <w:p w:rsidR="00000000" w:rsidDel="00000000" w:rsidP="00000000" w:rsidRDefault="00000000" w:rsidRPr="00000000" w14:paraId="00000093">
      <w:pPr>
        <w:numPr>
          <w:ilvl w:val="0"/>
          <w:numId w:val="8"/>
        </w:numPr>
        <w:ind w:left="720" w:hanging="360"/>
        <w:rPr/>
      </w:pPr>
      <w:r w:rsidDel="00000000" w:rsidR="00000000" w:rsidRPr="00000000">
        <w:rPr>
          <w:b w:val="1"/>
          <w:rtl w:val="0"/>
        </w:rPr>
        <w:t xml:space="preserve">Select Countries for Analysis</w:t>
      </w:r>
      <w:r w:rsidDel="00000000" w:rsidR="00000000" w:rsidRPr="00000000">
        <w:rPr>
          <w:rtl w:val="0"/>
        </w:rPr>
        <w:t xml:space="preserve">: From the Available Participants list, select countries by clicking them and moving them to the Selected Participants panel using the arrow key (→) or double-clicking. To select multiple countries, hold down the Ctrl key. Use the arrow key (→|) to select all countries</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5334000" cy="3967438"/>
            <wp:effectExtent b="0" l="0" r="0" t="0"/>
            <wp:docPr id="139"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5334000" cy="3967438"/>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numPr>
          <w:ilvl w:val="0"/>
          <w:numId w:val="9"/>
        </w:numPr>
        <w:ind w:left="720" w:hanging="360"/>
        <w:rPr/>
      </w:pPr>
      <w:r w:rsidDel="00000000" w:rsidR="00000000" w:rsidRPr="00000000">
        <w:rPr>
          <w:b w:val="1"/>
          <w:rtl w:val="0"/>
        </w:rPr>
        <w:t xml:space="preserve">(Optional)</w:t>
      </w:r>
      <w:r w:rsidDel="00000000" w:rsidR="00000000" w:rsidRPr="00000000">
        <w:rPr>
          <w:rtl w:val="0"/>
        </w:rPr>
        <w:t xml:space="preserve"> Click Edit Country List to edit country labels by adding or removing items (each must include a 3-letter code, ISO code, and full name).</w:t>
      </w:r>
    </w:p>
    <w:p w:rsidR="00000000" w:rsidDel="00000000" w:rsidP="00000000" w:rsidRDefault="00000000" w:rsidRPr="00000000" w14:paraId="00000096">
      <w:pPr>
        <w:numPr>
          <w:ilvl w:val="0"/>
          <w:numId w:val="9"/>
        </w:numPr>
        <w:ind w:left="720" w:hanging="360"/>
        <w:rPr/>
      </w:pPr>
      <w:r w:rsidDel="00000000" w:rsidR="00000000" w:rsidRPr="00000000">
        <w:rPr>
          <w:b w:val="1"/>
          <w:rtl w:val="0"/>
        </w:rPr>
        <w:t xml:space="preserve">Select data file types</w:t>
      </w:r>
      <w:r w:rsidDel="00000000" w:rsidR="00000000" w:rsidRPr="00000000">
        <w:rPr>
          <w:rtl w:val="0"/>
        </w:rPr>
        <w:t xml:space="preserve">: Click Next to go to the Select File Types and Variables tab. Check the boxes next to the data types you want to include, such as School Context, Student Achievement, Student Context, Student Home, Teacher Context.</w:t>
      </w:r>
    </w:p>
    <w:tbl>
      <w:tblPr>
        <w:tblStyle w:val="Table8"/>
        <w:tblW w:w="9694.0" w:type="dxa"/>
        <w:jc w:val="left"/>
        <w:tblInd w:w="19.999999999999982" w:type="dxa"/>
        <w:tblBorders>
          <w:top w:color="cc1914" w:space="0" w:sz="4" w:val="single"/>
          <w:left w:color="cc1914" w:space="0" w:sz="24" w:val="single"/>
          <w:bottom w:color="cc1914" w:space="0" w:sz="4" w:val="single"/>
          <w:right w:color="cc1914" w:space="0" w:sz="4" w:val="single"/>
        </w:tblBorders>
        <w:tblLayout w:type="fixed"/>
        <w:tblLook w:val="0000"/>
      </w:tblPr>
      <w:tblGrid>
        <w:gridCol w:w="9694"/>
        <w:tblGridChange w:id="0">
          <w:tblGrid>
            <w:gridCol w:w="9694"/>
          </w:tblGrid>
        </w:tblGridChange>
      </w:tblGrid>
      <w:tr>
        <w:trPr>
          <w:cantSplit w:val="1"/>
          <w:tblHeader w:val="0"/>
        </w:trPr>
        <w:tc>
          <w:tcPr>
            <w:shd w:fill="f7dddc" w:val="clear"/>
            <w:tcMar>
              <w:top w:w="92.0" w:type="dxa"/>
              <w:bottom w:w="92.0" w:type="dxa"/>
            </w:tcMar>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152400" cy="152400"/>
                  <wp:effectExtent b="0" l="0" r="0" t="0"/>
                  <wp:docPr id="13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52400" cy="152400"/>
                          </a:xfrm>
                          <a:prstGeom prst="rect"/>
                          <a:ln/>
                        </pic:spPr>
                      </pic:pic>
                    </a:graphicData>
                  </a:graphic>
                </wp:inline>
              </w:drawing>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Important</w:t>
            </w:r>
          </w:p>
        </w:tc>
      </w:tr>
      <w:tr>
        <w:trPr>
          <w:cantSplit w:val="1"/>
          <w:tblHeader w:val="0"/>
        </w:trPr>
        <w:tc>
          <w:tcPr>
            <w:tcMar>
              <w:top w:w="108.0" w:type="dxa"/>
              <w:bottom w:w="108.0" w:type="dxa"/>
            </w:tcMar>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1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To combine data of different types, such as student data with parent, school, or teacher data, select the appropriate file types. Ensure that the data is combined according to the study’s methodology, as some data types (e.g. teacher data) require analysis in relation to student data. Consult the study’s technical documentation (e.g. in the Help manual) to determine how to properly merge data and interpret the results.</w:t>
            </w:r>
          </w:p>
        </w:tc>
      </w:tr>
    </w:tbl>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Select variables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From the Available Variables list, choose variables for analysis by moving them to the Selected Variables panel using the arrow (→). Use the arrow (→|) to select all variables. Some variables (identification and analysis variables) are automatically selected by default</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5334000" cy="3958621"/>
            <wp:effectExtent b="0" l="0" r="0" t="0"/>
            <wp:docPr id="138"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5334000" cy="3958621"/>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numPr>
          <w:ilvl w:val="0"/>
          <w:numId w:val="12"/>
        </w:numPr>
        <w:ind w:left="720" w:hanging="360"/>
        <w:rPr/>
      </w:pPr>
      <w:r w:rsidDel="00000000" w:rsidR="00000000" w:rsidRPr="00000000">
        <w:rPr>
          <w:b w:val="1"/>
          <w:rtl w:val="0"/>
        </w:rPr>
        <w:t xml:space="preserve">Specify save location</w:t>
      </w:r>
      <w:r w:rsidDel="00000000" w:rsidR="00000000" w:rsidRPr="00000000">
        <w:rPr>
          <w:rtl w:val="0"/>
        </w:rPr>
        <w:t xml:space="preserve">: In the Output Files field, click Define to specify the folder and file name for the output file and script. The file name cannot contain special characters</w:t>
      </w:r>
    </w:p>
    <w:p w:rsidR="00000000" w:rsidDel="00000000" w:rsidP="00000000" w:rsidRDefault="00000000" w:rsidRPr="00000000" w14:paraId="0000009D">
      <w:pPr>
        <w:numPr>
          <w:ilvl w:val="0"/>
          <w:numId w:val="12"/>
        </w:numPr>
        <w:ind w:left="720" w:hanging="360"/>
        <w:rPr/>
      </w:pPr>
      <w:r w:rsidDel="00000000" w:rsidR="00000000" w:rsidRPr="00000000">
        <w:rPr>
          <w:b w:val="1"/>
          <w:rtl w:val="0"/>
        </w:rPr>
        <w:t xml:space="preserve">Generate and run the script</w:t>
      </w:r>
      <w:r w:rsidDel="00000000" w:rsidR="00000000" w:rsidRPr="00000000">
        <w:rPr>
          <w:rtl w:val="0"/>
        </w:rPr>
        <w:t xml:space="preserve">: Click Start SPSS/SAS/R to generate the script. Run it in the selected statistical environment (in R, click Source or press Ctrl + Shift + Enter; in SPSS choose Run &gt; All; in SAS click Run or Submit)</w:t>
      </w:r>
    </w:p>
    <w:bookmarkStart w:colFirst="0" w:colLast="0" w:name="bookmark=id.i9p9vxwlemtu" w:id="18"/>
    <w:bookmarkEnd w:id="18"/>
    <w:p w:rsidR="00000000" w:rsidDel="00000000" w:rsidP="00000000" w:rsidRDefault="00000000" w:rsidRPr="00000000" w14:paraId="0000009E">
      <w:pPr>
        <w:pStyle w:val="Heading3"/>
        <w:rPr/>
      </w:pPr>
      <w:bookmarkStart w:colFirst="0" w:colLast="0" w:name="_heading=h.j7t5wfxtxi5v" w:id="19"/>
      <w:bookmarkEnd w:id="19"/>
      <w:r w:rsidDel="00000000" w:rsidR="00000000" w:rsidRPr="00000000">
        <w:rPr>
          <w:rtl w:val="0"/>
        </w:rPr>
        <w:t xml:space="preserve">2.3 Analysis Module</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Analysis Module is a key component of the IEA IDB Analyzer, which enables generating ready-made analytical scripts in SPSS, SAS or R. The module is designed for analyzing data from international educational studies, taking into account their complex sampling design, including sampling weights, replication weights and plausible values (PVs).</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bl>
      <w:tblPr>
        <w:tblStyle w:val="Table9"/>
        <w:tblW w:w="9694.0" w:type="dxa"/>
        <w:jc w:val="left"/>
        <w:tblInd w:w="19.999999999999982" w:type="dxa"/>
        <w:tblBorders>
          <w:top w:color="0758e5" w:space="0" w:sz="4" w:val="single"/>
          <w:left w:color="0758e5" w:space="0" w:sz="24" w:val="single"/>
          <w:bottom w:color="0758e5" w:space="0" w:sz="4" w:val="single"/>
          <w:right w:color="0758e5" w:space="0" w:sz="4" w:val="single"/>
        </w:tblBorders>
        <w:tblLayout w:type="fixed"/>
        <w:tblLook w:val="0000"/>
      </w:tblPr>
      <w:tblGrid>
        <w:gridCol w:w="9694"/>
        <w:tblGridChange w:id="0">
          <w:tblGrid>
            <w:gridCol w:w="9694"/>
          </w:tblGrid>
        </w:tblGridChange>
      </w:tblGrid>
      <w:tr>
        <w:trPr>
          <w:cantSplit w:val="1"/>
          <w:tblHeader w:val="0"/>
        </w:trPr>
        <w:tc>
          <w:tcPr>
            <w:shd w:fill="dae6fb" w:val="clear"/>
            <w:tcMar>
              <w:top w:w="92.0" w:type="dxa"/>
              <w:bottom w:w="92.0" w:type="dxa"/>
            </w:tcMar>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152400" cy="152400"/>
                  <wp:effectExtent b="0" l="0" r="0" t="0"/>
                  <wp:docPr id="140"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52400" cy="152400"/>
                          </a:xfrm>
                          <a:prstGeom prst="rect"/>
                          <a:ln/>
                        </pic:spPr>
                      </pic:pic>
                    </a:graphicData>
                  </a:graphic>
                </wp:inline>
              </w:drawing>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Analysis Methodology</w:t>
            </w:r>
          </w:p>
        </w:tc>
      </w:tr>
      <w:tr>
        <w:trPr>
          <w:cantSplit w:val="1"/>
          <w:tblHeader w:val="0"/>
        </w:trPr>
        <w:tc>
          <w:tcPr>
            <w:tcMar>
              <w:top w:w="108.0" w:type="dxa"/>
              <w:bottom w:w="108.0" w:type="dxa"/>
            </w:tcMar>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Program automatically uses the jackknife Repeated Replication (JRR) or Balanced Repeated Replication (BRR) method, allowing for the correct calculation of standard deviations for the analyzed statistics, fully accounting for the sample design structure.</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user can select the type of analysis, variables and specify whether to include missing data in grouping variables (by default, they are excluded, but they can be included as reporting categories). Depending on study and selected analysis, the program automatically selects the appropriate methods. The results are generated as syntax, which must be run in selected statistical software.</w:t>
            </w:r>
          </w:p>
        </w:tc>
      </w:tr>
    </w:tbl>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Below are presented the available types of analyses and their support in different statistical environments:</w:t>
      </w:r>
    </w:p>
    <w:tbl>
      <w:tblPr>
        <w:tblStyle w:val="Table10"/>
        <w:tblW w:w="9622.0" w:type="dxa"/>
        <w:jc w:val="left"/>
        <w:tblInd w:w="-108.0" w:type="dxa"/>
        <w:tblLayout w:type="fixed"/>
        <w:tblLook w:val="0020"/>
      </w:tblPr>
      <w:tblGrid>
        <w:gridCol w:w="4634"/>
        <w:gridCol w:w="2138"/>
        <w:gridCol w:w="1781"/>
        <w:gridCol w:w="1069"/>
        <w:tblGridChange w:id="0">
          <w:tblGrid>
            <w:gridCol w:w="4634"/>
            <w:gridCol w:w="2138"/>
            <w:gridCol w:w="1781"/>
            <w:gridCol w:w="1069"/>
          </w:tblGrid>
        </w:tblGridChange>
      </w:tblGrid>
      <w:tr>
        <w:trPr>
          <w:cantSplit w:val="0"/>
          <w:tblHeader w:val="1"/>
        </w:trPr>
        <w:tc>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Analysis Type</w:t>
            </w:r>
          </w:p>
        </w:tc>
        <w:tc>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SPSS</w:t>
            </w:r>
          </w:p>
        </w:tc>
        <w:tc>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SAS</w:t>
            </w:r>
          </w:p>
        </w:tc>
        <w:tc>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R</w:t>
            </w:r>
          </w:p>
        </w:tc>
      </w:tr>
      <w:tr>
        <w:trPr>
          <w:cantSplit w:val="0"/>
          <w:tblHeader w:val="0"/>
        </w:trPr>
        <w:tc>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Frequency Distributions (Percentages only)</w:t>
            </w:r>
          </w:p>
        </w:tc>
        <w:tc>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tc>
      </w:tr>
      <w:tr>
        <w:trPr>
          <w:cantSplit w:val="0"/>
          <w:tblHeader w:val="0"/>
        </w:trPr>
        <w:tc>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Frequency Distributions and Means (with t-tests) (Percentages and Means)</w:t>
            </w:r>
          </w:p>
        </w:tc>
        <w:tc>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tc>
      </w:tr>
      <w:tr>
        <w:trPr>
          <w:cantSplit w:val="0"/>
          <w:tblHeader w:val="0"/>
        </w:trPr>
        <w:tc>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Skills Benchmarks (Benchmarks)</w:t>
            </w:r>
          </w:p>
        </w:tc>
        <w:tc>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tc>
      </w:tr>
      <w:tr>
        <w:trPr>
          <w:cantSplit w:val="0"/>
          <w:tblHeader w:val="0"/>
        </w:trPr>
        <w:tc>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Percentiles</w:t>
            </w:r>
          </w:p>
        </w:tc>
        <w:tc>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tc>
      </w:tr>
      <w:tr>
        <w:trPr>
          <w:cantSplit w:val="0"/>
          <w:tblHeader w:val="0"/>
        </w:trPr>
        <w:tc>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Correlations (Pearson/Spearman)</w:t>
            </w:r>
          </w:p>
        </w:tc>
        <w:tc>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tc>
      </w:tr>
      <w:tr>
        <w:trPr>
          <w:cantSplit w:val="0"/>
          <w:tblHeader w:val="0"/>
        </w:trPr>
        <w:tc>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Linear Regression</w:t>
            </w:r>
          </w:p>
        </w:tc>
        <w:tc>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tc>
      </w:tr>
      <w:tr>
        <w:trPr>
          <w:cantSplit w:val="0"/>
          <w:tblHeader w:val="0"/>
        </w:trPr>
        <w:tc>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Logistic Regression</w:t>
            </w:r>
          </w:p>
        </w:tc>
        <w:tc>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tc>
      </w:tr>
    </w:tbl>
    <w:bookmarkStart w:colFirst="0" w:colLast="0" w:name="bookmark=id.yf97cvj54is1" w:id="20"/>
    <w:bookmarkEnd w:id="20"/>
    <w:p w:rsidR="00000000" w:rsidDel="00000000" w:rsidP="00000000" w:rsidRDefault="00000000" w:rsidRPr="00000000" w14:paraId="000000C9">
      <w:pPr>
        <w:pStyle w:val="Heading4"/>
        <w:rPr/>
      </w:pPr>
      <w:bookmarkStart w:colFirst="0" w:colLast="0" w:name="_heading=h.9jiwd48y1n1g" w:id="21"/>
      <w:bookmarkEnd w:id="21"/>
      <w:r w:rsidDel="00000000" w:rsidR="00000000" w:rsidRPr="00000000">
        <w:rPr>
          <w:rtl w:val="0"/>
        </w:rPr>
      </w:r>
    </w:p>
    <w:p w:rsidR="00000000" w:rsidDel="00000000" w:rsidP="00000000" w:rsidRDefault="00000000" w:rsidRPr="00000000" w14:paraId="000000CA">
      <w:pPr>
        <w:pStyle w:val="Heading4"/>
        <w:rPr/>
      </w:pPr>
      <w:r w:rsidDel="00000000" w:rsidR="00000000" w:rsidRPr="00000000">
        <w:rPr>
          <w:rtl w:val="0"/>
        </w:rPr>
        <w:t xml:space="preserve">2.3.1 Frequency Distributions (Percentages only)</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This type of analysis is used to calculate the percentage distributions of categorical variables, including standard errors. The analysis can be conducted with one or more grouping variables, such as gender or country. By default, the first grouping variable used is IDCNTRY, which allows for comparing results between countries. The Separate Tables by option generates separate tables for each variable analyzed, making comparisons easier.</w:t>
      </w:r>
    </w:p>
    <w:tbl>
      <w:tblPr>
        <w:tblStyle w:val="Table11"/>
        <w:tblW w:w="9694.0" w:type="dxa"/>
        <w:jc w:val="left"/>
        <w:tblInd w:w="19.999999999999982" w:type="dxa"/>
        <w:tblBorders>
          <w:top w:color="0758e5" w:space="0" w:sz="4" w:val="single"/>
          <w:left w:color="0758e5" w:space="0" w:sz="24" w:val="single"/>
          <w:bottom w:color="0758e5" w:space="0" w:sz="4" w:val="single"/>
          <w:right w:color="0758e5" w:space="0" w:sz="4" w:val="single"/>
        </w:tblBorders>
        <w:tblLayout w:type="fixed"/>
        <w:tblLook w:val="0000"/>
      </w:tblPr>
      <w:tblGrid>
        <w:gridCol w:w="9694"/>
        <w:tblGridChange w:id="0">
          <w:tblGrid>
            <w:gridCol w:w="9694"/>
          </w:tblGrid>
        </w:tblGridChange>
      </w:tblGrid>
      <w:tr>
        <w:trPr>
          <w:cantSplit w:val="1"/>
          <w:tblHeader w:val="0"/>
        </w:trPr>
        <w:tc>
          <w:tcPr>
            <w:shd w:fill="dae6fb" w:val="clear"/>
            <w:tcMar>
              <w:top w:w="92.0" w:type="dxa"/>
              <w:bottom w:w="92.0" w:type="dxa"/>
            </w:tcMar>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152400" cy="152400"/>
                  <wp:effectExtent b="0" l="0" r="0" t="0"/>
                  <wp:docPr id="141"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52400" cy="152400"/>
                          </a:xfrm>
                          <a:prstGeom prst="rect"/>
                          <a:ln/>
                        </pic:spPr>
                      </pic:pic>
                    </a:graphicData>
                  </a:graphic>
                </wp:inline>
              </w:drawing>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Application Example</w:t>
            </w:r>
          </w:p>
        </w:tc>
      </w:tr>
      <w:tr>
        <w:trPr>
          <w:cantSplit w:val="1"/>
          <w:tblHeader w:val="0"/>
        </w:trPr>
        <w:tc>
          <w:tcPr>
            <w:tcMar>
              <w:top w:w="108.0" w:type="dxa"/>
              <w:bottom w:w="108.0" w:type="dxa"/>
            </w:tcMar>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1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It is possible to determine the percentage of boys and girls among fourth-grade students in each of the countries participating in the PIRLS study.</w:t>
            </w:r>
          </w:p>
        </w:tc>
      </w:tr>
    </w:tbl>
    <w:bookmarkStart w:colFirst="0" w:colLast="0" w:name="bookmark=id.b7tllwvefbnx" w:id="22"/>
    <w:bookmarkEnd w:id="22"/>
    <w:p w:rsidR="00000000" w:rsidDel="00000000" w:rsidP="00000000" w:rsidRDefault="00000000" w:rsidRPr="00000000" w14:paraId="000000CE">
      <w:pPr>
        <w:pStyle w:val="Heading4"/>
        <w:tabs>
          <w:tab w:val="left" w:leader="none" w:pos="5244"/>
        </w:tabs>
        <w:rPr/>
      </w:pPr>
      <w:bookmarkStart w:colFirst="0" w:colLast="0" w:name="_heading=h.somqejaagxxy" w:id="23"/>
      <w:bookmarkEnd w:id="23"/>
      <w:r w:rsidDel="00000000" w:rsidR="00000000" w:rsidRPr="00000000">
        <w:rPr>
          <w:rtl w:val="0"/>
        </w:rPr>
        <w:tab/>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pStyle w:val="Heading4"/>
        <w:rPr/>
      </w:pPr>
      <w:r w:rsidDel="00000000" w:rsidR="00000000" w:rsidRPr="00000000">
        <w:rPr>
          <w:rtl w:val="0"/>
        </w:rPr>
        <w:t xml:space="preserve">2.3.2 Frequency Distributions and Means (Percentages &amp; Means)</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module calculates percentage distributions and means for continuous or categorical variables, along with standard deviations and standard errors. It also generates t-tests statistics to compare means and percentages between groups. The users selects grouping variables (e.g., IDCNTRY, gender) and analyzed variables (e.g. test scores). To include the achievement results, select Use PVs in the Plausible Value Option menu and specify the set of plausible values.</w:t>
      </w:r>
    </w:p>
    <w:tbl>
      <w:tblPr>
        <w:tblStyle w:val="Table12"/>
        <w:tblW w:w="9694.0" w:type="dxa"/>
        <w:jc w:val="left"/>
        <w:tblInd w:w="19.999999999999982" w:type="dxa"/>
        <w:tblBorders>
          <w:top w:color="0758e5" w:space="0" w:sz="4" w:val="single"/>
          <w:left w:color="0758e5" w:space="0" w:sz="24" w:val="single"/>
          <w:bottom w:color="0758e5" w:space="0" w:sz="4" w:val="single"/>
          <w:right w:color="0758e5" w:space="0" w:sz="4" w:val="single"/>
        </w:tblBorders>
        <w:tblLayout w:type="fixed"/>
        <w:tblLook w:val="0000"/>
      </w:tblPr>
      <w:tblGrid>
        <w:gridCol w:w="9694"/>
        <w:tblGridChange w:id="0">
          <w:tblGrid>
            <w:gridCol w:w="9694"/>
          </w:tblGrid>
        </w:tblGridChange>
      </w:tblGrid>
      <w:tr>
        <w:trPr>
          <w:cantSplit w:val="1"/>
          <w:tblHeader w:val="0"/>
        </w:trPr>
        <w:tc>
          <w:tcPr>
            <w:shd w:fill="dae6fb" w:val="clear"/>
            <w:tcMar>
              <w:top w:w="92.0" w:type="dxa"/>
              <w:bottom w:w="92.0" w:type="dxa"/>
            </w:tcMar>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152400" cy="152400"/>
                  <wp:effectExtent b="0" l="0" r="0" t="0"/>
                  <wp:docPr id="142"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52400" cy="152400"/>
                          </a:xfrm>
                          <a:prstGeom prst="rect"/>
                          <a:ln/>
                        </pic:spPr>
                      </pic:pic>
                    </a:graphicData>
                  </a:graphic>
                </wp:inline>
              </w:drawing>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Application Example</w:t>
            </w:r>
          </w:p>
        </w:tc>
      </w:tr>
      <w:tr>
        <w:trPr>
          <w:cantSplit w:val="1"/>
          <w:tblHeader w:val="0"/>
        </w:trPr>
        <w:tc>
          <w:tcPr>
            <w:tcMar>
              <w:top w:w="108.0" w:type="dxa"/>
              <w:bottom w:w="108.0" w:type="dxa"/>
            </w:tcMar>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1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It is possible to compare the average mathematics achievement between boys and girls in different countries and test the statistical significance of the difference.</w:t>
            </w:r>
          </w:p>
        </w:tc>
      </w:tr>
    </w:tbl>
    <w:bookmarkStart w:colFirst="0" w:colLast="0" w:name="bookmark=id.q64zf6awt17q" w:id="24"/>
    <w:bookmarkEnd w:id="24"/>
    <w:p w:rsidR="00000000" w:rsidDel="00000000" w:rsidP="00000000" w:rsidRDefault="00000000" w:rsidRPr="00000000" w14:paraId="000000D4">
      <w:pPr>
        <w:pStyle w:val="Heading4"/>
        <w:rPr/>
      </w:pPr>
      <w:bookmarkStart w:colFirst="0" w:colLast="0" w:name="_heading=h.g1c05cantt13" w:id="25"/>
      <w:bookmarkEnd w:id="25"/>
      <w:r w:rsidDel="00000000" w:rsidR="00000000" w:rsidRPr="00000000">
        <w:rPr>
          <w:rtl w:val="0"/>
        </w:rPr>
        <w:t xml:space="preserve">2.3.3 Skills Benchmarks (Benchmarks)</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Benchmarks module calculates the percentage of respondents reaching specific skills levels (e.g. international benchmarks) or user-defined cutoff points. The analysis can be conducted in two modes:</w:t>
      </w:r>
    </w:p>
    <w:p w:rsidR="00000000" w:rsidDel="00000000" w:rsidP="00000000" w:rsidRDefault="00000000" w:rsidRPr="00000000" w14:paraId="000000D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Cumulative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The percentage of respondents at or above a given threshold</w:t>
      </w:r>
    </w:p>
    <w:p w:rsidR="00000000" w:rsidDel="00000000" w:rsidP="00000000" w:rsidRDefault="00000000" w:rsidRPr="00000000" w14:paraId="000000D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Discrete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The percentage of respondents within specific ranges, with the option to calculate means for selected variables within each group.</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user selects plausible values (PVs) option in the Plausible Value Option menu and determines the cutoff values in the Achievement Benchmarks field. The analysis takes into account grouping variables (e.g., country, gender) and allows for comparing percentage differences and means across groups.</w:t>
      </w:r>
    </w:p>
    <w:tbl>
      <w:tblPr>
        <w:tblStyle w:val="Table13"/>
        <w:tblW w:w="9694.0" w:type="dxa"/>
        <w:jc w:val="left"/>
        <w:tblInd w:w="19.999999999999982" w:type="dxa"/>
        <w:tblBorders>
          <w:top w:color="0758e5" w:space="0" w:sz="4" w:val="single"/>
          <w:left w:color="0758e5" w:space="0" w:sz="24" w:val="single"/>
          <w:bottom w:color="0758e5" w:space="0" w:sz="4" w:val="single"/>
          <w:right w:color="0758e5" w:space="0" w:sz="4" w:val="single"/>
        </w:tblBorders>
        <w:tblLayout w:type="fixed"/>
        <w:tblLook w:val="0000"/>
      </w:tblPr>
      <w:tblGrid>
        <w:gridCol w:w="9694"/>
        <w:tblGridChange w:id="0">
          <w:tblGrid>
            <w:gridCol w:w="9694"/>
          </w:tblGrid>
        </w:tblGridChange>
      </w:tblGrid>
      <w:tr>
        <w:trPr>
          <w:cantSplit w:val="1"/>
          <w:tblHeader w:val="0"/>
        </w:trPr>
        <w:tc>
          <w:tcPr>
            <w:shd w:fill="dae6fb" w:val="clear"/>
            <w:tcMar>
              <w:top w:w="92.0" w:type="dxa"/>
              <w:bottom w:w="92.0" w:type="dxa"/>
            </w:tcMar>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152400" cy="152400"/>
                  <wp:effectExtent b="0" l="0" r="0" t="0"/>
                  <wp:docPr id="143"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52400" cy="152400"/>
                          </a:xfrm>
                          <a:prstGeom prst="rect"/>
                          <a:ln/>
                        </pic:spPr>
                      </pic:pic>
                    </a:graphicData>
                  </a:graphic>
                </wp:inline>
              </w:drawing>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Application Example</w:t>
            </w:r>
          </w:p>
        </w:tc>
      </w:tr>
      <w:tr>
        <w:trPr>
          <w:cantSplit w:val="1"/>
          <w:tblHeader w:val="0"/>
        </w:trPr>
        <w:tc>
          <w:tcPr>
            <w:tcMar>
              <w:top w:w="108.0" w:type="dxa"/>
              <w:bottom w:w="108.0" w:type="dxa"/>
            </w:tcMar>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1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It is possible to examine what percentage of students in each country achieved a certain skill level in reading according to the scale used in the PIRLS study.</w:t>
            </w:r>
          </w:p>
        </w:tc>
      </w:tr>
    </w:tbl>
    <w:bookmarkStart w:colFirst="0" w:colLast="0" w:name="bookmark=id.w47tu29062b6" w:id="26"/>
    <w:bookmarkEnd w:id="26"/>
    <w:p w:rsidR="00000000" w:rsidDel="00000000" w:rsidP="00000000" w:rsidRDefault="00000000" w:rsidRPr="00000000" w14:paraId="000000DB">
      <w:pPr>
        <w:pStyle w:val="Heading4"/>
        <w:rPr/>
      </w:pPr>
      <w:bookmarkStart w:colFirst="0" w:colLast="0" w:name="_heading=h.doc3ri26v7xw" w:id="27"/>
      <w:bookmarkEnd w:id="27"/>
      <w:r w:rsidDel="00000000" w:rsidR="00000000" w:rsidRPr="00000000">
        <w:rPr>
          <w:rtl w:val="0"/>
        </w:rPr>
        <w:t xml:space="preserve">2.3.4 Percentiles</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This module calculates score values (e.g. 25th, 50th, 75th percentiles) that divide the distribution of continuous variables (e.g. test scores) into specified parts. The analysis is performed in subgroups defined by grouping variables (e.g. IDCNTRY, gender). The user enters the percentiles (separated by spaces) in the Percentiles field.</w:t>
      </w:r>
    </w:p>
    <w:tbl>
      <w:tblPr>
        <w:tblStyle w:val="Table14"/>
        <w:tblW w:w="9694.0" w:type="dxa"/>
        <w:jc w:val="left"/>
        <w:tblInd w:w="19.999999999999982" w:type="dxa"/>
        <w:tblBorders>
          <w:top w:color="0758e5" w:space="0" w:sz="4" w:val="single"/>
          <w:left w:color="0758e5" w:space="0" w:sz="24" w:val="single"/>
          <w:bottom w:color="0758e5" w:space="0" w:sz="4" w:val="single"/>
          <w:right w:color="0758e5" w:space="0" w:sz="4" w:val="single"/>
        </w:tblBorders>
        <w:tblLayout w:type="fixed"/>
        <w:tblLook w:val="0000"/>
      </w:tblPr>
      <w:tblGrid>
        <w:gridCol w:w="9694"/>
        <w:tblGridChange w:id="0">
          <w:tblGrid>
            <w:gridCol w:w="9694"/>
          </w:tblGrid>
        </w:tblGridChange>
      </w:tblGrid>
      <w:tr>
        <w:trPr>
          <w:cantSplit w:val="1"/>
          <w:tblHeader w:val="0"/>
        </w:trPr>
        <w:tc>
          <w:tcPr>
            <w:shd w:fill="dae6fb" w:val="clear"/>
            <w:tcMar>
              <w:top w:w="92.0" w:type="dxa"/>
              <w:bottom w:w="92.0" w:type="dxa"/>
            </w:tcMar>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152400" cy="152400"/>
                  <wp:effectExtent b="0" l="0" r="0" t="0"/>
                  <wp:docPr id="144"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52400" cy="152400"/>
                          </a:xfrm>
                          <a:prstGeom prst="rect"/>
                          <a:ln/>
                        </pic:spPr>
                      </pic:pic>
                    </a:graphicData>
                  </a:graphic>
                </wp:inline>
              </w:drawing>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Application example</w:t>
            </w:r>
          </w:p>
        </w:tc>
      </w:tr>
      <w:tr>
        <w:trPr>
          <w:cantSplit w:val="1"/>
          <w:tblHeader w:val="0"/>
        </w:trPr>
        <w:tc>
          <w:tcPr>
            <w:tcMar>
              <w:top w:w="108.0" w:type="dxa"/>
              <w:bottom w:w="108.0" w:type="dxa"/>
            </w:tcMar>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1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It is possible to determine what score in mathematics a student would need to achieve to be included in the top 10% of students (i.e. the score corresponding to the 90th percentile in a given country).</w:t>
            </w:r>
          </w:p>
        </w:tc>
      </w:tr>
    </w:tbl>
    <w:bookmarkStart w:colFirst="0" w:colLast="0" w:name="bookmark=id.chgodfg0ivmi" w:id="28"/>
    <w:bookmarkEnd w:id="28"/>
    <w:p w:rsidR="00000000" w:rsidDel="00000000" w:rsidP="00000000" w:rsidRDefault="00000000" w:rsidRPr="00000000" w14:paraId="000000DF">
      <w:pPr>
        <w:pStyle w:val="Heading4"/>
        <w:rPr/>
      </w:pPr>
      <w:bookmarkStart w:colFirst="0" w:colLast="0" w:name="_heading=h.7vd8f7m6js9b" w:id="29"/>
      <w:bookmarkEnd w:id="29"/>
      <w:r w:rsidDel="00000000" w:rsidR="00000000" w:rsidRPr="00000000">
        <w:rPr>
          <w:rtl w:val="0"/>
        </w:rPr>
        <w:t xml:space="preserve">2.3.5 Correlations</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Correlations module allows for calculating Pearson correlation coefficients for continuous variables and Spearman rank correlations for ordinal variables. The analysis can be conducted within subgroups, such as by country. It enables the analysis of a relationship between variables such as attitudes toward reading and reading frequency. It is also possible to calculate correlations between test scores and any scale included in a given study.</w:t>
      </w:r>
    </w:p>
    <w:tbl>
      <w:tblPr>
        <w:tblStyle w:val="Table15"/>
        <w:tblW w:w="9694.0" w:type="dxa"/>
        <w:jc w:val="left"/>
        <w:tblInd w:w="19.999999999999982" w:type="dxa"/>
        <w:tblBorders>
          <w:top w:color="0758e5" w:space="0" w:sz="4" w:val="single"/>
          <w:left w:color="0758e5" w:space="0" w:sz="24" w:val="single"/>
          <w:bottom w:color="0758e5" w:space="0" w:sz="4" w:val="single"/>
          <w:right w:color="0758e5" w:space="0" w:sz="4" w:val="single"/>
        </w:tblBorders>
        <w:tblLayout w:type="fixed"/>
        <w:tblLook w:val="0000"/>
      </w:tblPr>
      <w:tblGrid>
        <w:gridCol w:w="9694"/>
        <w:tblGridChange w:id="0">
          <w:tblGrid>
            <w:gridCol w:w="9694"/>
          </w:tblGrid>
        </w:tblGridChange>
      </w:tblGrid>
      <w:tr>
        <w:trPr>
          <w:cantSplit w:val="1"/>
          <w:tblHeader w:val="0"/>
        </w:trPr>
        <w:tc>
          <w:tcPr>
            <w:shd w:fill="dae6fb" w:val="clear"/>
            <w:tcMar>
              <w:top w:w="92.0" w:type="dxa"/>
              <w:bottom w:w="92.0" w:type="dxa"/>
            </w:tcMar>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152400" cy="152400"/>
                  <wp:effectExtent b="0" l="0" r="0" t="0"/>
                  <wp:docPr id="145"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52400" cy="152400"/>
                          </a:xfrm>
                          <a:prstGeom prst="rect"/>
                          <a:ln/>
                        </pic:spPr>
                      </pic:pic>
                    </a:graphicData>
                  </a:graphic>
                </wp:inline>
              </w:drawing>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Application example</w:t>
            </w:r>
          </w:p>
        </w:tc>
      </w:tr>
      <w:tr>
        <w:trPr>
          <w:cantSplit w:val="1"/>
          <w:tblHeader w:val="0"/>
        </w:trPr>
        <w:tc>
          <w:tcPr>
            <w:tcMar>
              <w:top w:w="108.0" w:type="dxa"/>
              <w:bottom w:w="108.0" w:type="dxa"/>
            </w:tcMar>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1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It is possible to examine whether there is a relationship between time spent studying and test scores.</w:t>
            </w:r>
          </w:p>
        </w:tc>
      </w:tr>
    </w:tbl>
    <w:bookmarkStart w:colFirst="0" w:colLast="0" w:name="bookmark=id.jkv7mtm5upn7" w:id="30"/>
    <w:bookmarkEnd w:id="30"/>
    <w:p w:rsidR="00000000" w:rsidDel="00000000" w:rsidP="00000000" w:rsidRDefault="00000000" w:rsidRPr="00000000" w14:paraId="000000E3">
      <w:pPr>
        <w:pStyle w:val="Heading4"/>
        <w:rPr/>
      </w:pPr>
      <w:bookmarkStart w:colFirst="0" w:colLast="0" w:name="_heading=h.1oj8aobdz9po" w:id="31"/>
      <w:bookmarkEnd w:id="31"/>
      <w:r w:rsidDel="00000000" w:rsidR="00000000" w:rsidRPr="00000000">
        <w:rPr>
          <w:rtl w:val="0"/>
        </w:rPr>
        <w:t xml:space="preserve">2.3.6 Linear Regression</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Linear Regression module allows the construction of statistical models that predict the value of dependent variable based on one or more predictors. The analysis can include both continuous variables (e.g. number of study hours) and categorical variables (e.g. gender or school type), which the program automatically codes (e.g., using dummy coding or effect coding in the Contrast menu). The module allows for the inclusion of plausible values (PVs) as dependent or independent variables,</w:t>
      </w:r>
    </w:p>
    <w:tbl>
      <w:tblPr>
        <w:tblStyle w:val="Table16"/>
        <w:tblW w:w="9694.0" w:type="dxa"/>
        <w:jc w:val="left"/>
        <w:tblInd w:w="19.999999999999982" w:type="dxa"/>
        <w:tblBorders>
          <w:top w:color="0758e5" w:space="0" w:sz="4" w:val="single"/>
          <w:left w:color="0758e5" w:space="0" w:sz="24" w:val="single"/>
          <w:bottom w:color="0758e5" w:space="0" w:sz="4" w:val="single"/>
          <w:right w:color="0758e5" w:space="0" w:sz="4" w:val="single"/>
        </w:tblBorders>
        <w:tblLayout w:type="fixed"/>
        <w:tblLook w:val="0000"/>
      </w:tblPr>
      <w:tblGrid>
        <w:gridCol w:w="9694"/>
        <w:tblGridChange w:id="0">
          <w:tblGrid>
            <w:gridCol w:w="9694"/>
          </w:tblGrid>
        </w:tblGridChange>
      </w:tblGrid>
      <w:tr>
        <w:trPr>
          <w:cantSplit w:val="1"/>
          <w:tblHeader w:val="0"/>
        </w:trPr>
        <w:tc>
          <w:tcPr>
            <w:shd w:fill="dae6fb" w:val="clear"/>
            <w:tcMar>
              <w:top w:w="92.0" w:type="dxa"/>
              <w:bottom w:w="92.0" w:type="dxa"/>
            </w:tcMar>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152400" cy="152400"/>
                  <wp:effectExtent b="0" l="0" r="0" t="0"/>
                  <wp:docPr id="146"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52400" cy="152400"/>
                          </a:xfrm>
                          <a:prstGeom prst="rect"/>
                          <a:ln/>
                        </pic:spPr>
                      </pic:pic>
                    </a:graphicData>
                  </a:graphic>
                </wp:inline>
              </w:drawing>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Application Example</w:t>
            </w:r>
          </w:p>
        </w:tc>
      </w:tr>
      <w:tr>
        <w:trPr>
          <w:cantSplit w:val="1"/>
          <w:tblHeader w:val="0"/>
        </w:trPr>
        <w:tc>
          <w:tcPr>
            <w:tcMar>
              <w:top w:w="108.0" w:type="dxa"/>
              <w:bottom w:w="108.0" w:type="dxa"/>
            </w:tcMar>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1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user can build a model showing the impact of gender, socioeconomic status, and number of study hours on mathematics scores. The results show the estimated change in the dependent variable for a change in each predictor, assuming all other factors remain constant.</w:t>
            </w:r>
          </w:p>
        </w:tc>
      </w:tr>
    </w:tbl>
    <w:bookmarkStart w:colFirst="0" w:colLast="0" w:name="bookmark=id.m75vqia0itd8" w:id="32"/>
    <w:bookmarkEnd w:id="32"/>
    <w:p w:rsidR="00000000" w:rsidDel="00000000" w:rsidP="00000000" w:rsidRDefault="00000000" w:rsidRPr="00000000" w14:paraId="000000E7">
      <w:pPr>
        <w:pStyle w:val="Heading4"/>
        <w:rPr/>
      </w:pPr>
      <w:bookmarkStart w:colFirst="0" w:colLast="0" w:name="_heading=h.epmhyce2c87i" w:id="33"/>
      <w:bookmarkEnd w:id="33"/>
      <w:r w:rsidDel="00000000" w:rsidR="00000000" w:rsidRPr="00000000">
        <w:rPr>
          <w:rtl w:val="0"/>
        </w:rPr>
        <w:t xml:space="preserve">2.3.7 Logistic Regression</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Logistic Regression module enables modeling the probability of a binary outcome (e.g. yes/no) based on independent variables (continuous or categorical). It generates syntax for analysis in SPSS or SAS (this module is not available for R). The model can include independent variables that are either continuous (e.g. socioeconomic status) or categorical (e.g. gender).</w:t>
      </w:r>
    </w:p>
    <w:tbl>
      <w:tblPr>
        <w:tblStyle w:val="Table17"/>
        <w:tblW w:w="9694.0" w:type="dxa"/>
        <w:jc w:val="left"/>
        <w:tblInd w:w="19.999999999999982" w:type="dxa"/>
        <w:tblBorders>
          <w:top w:color="0758e5" w:space="0" w:sz="4" w:val="single"/>
          <w:left w:color="0758e5" w:space="0" w:sz="24" w:val="single"/>
          <w:bottom w:color="0758e5" w:space="0" w:sz="4" w:val="single"/>
          <w:right w:color="0758e5" w:space="0" w:sz="4" w:val="single"/>
        </w:tblBorders>
        <w:tblLayout w:type="fixed"/>
        <w:tblLook w:val="0000"/>
      </w:tblPr>
      <w:tblGrid>
        <w:gridCol w:w="9694"/>
        <w:tblGridChange w:id="0">
          <w:tblGrid>
            <w:gridCol w:w="9694"/>
          </w:tblGrid>
        </w:tblGridChange>
      </w:tblGrid>
      <w:tr>
        <w:trPr>
          <w:cantSplit w:val="1"/>
          <w:tblHeader w:val="0"/>
        </w:trPr>
        <w:tc>
          <w:tcPr>
            <w:shd w:fill="dae6fb" w:val="clear"/>
            <w:tcMar>
              <w:top w:w="92.0" w:type="dxa"/>
              <w:bottom w:w="92.0" w:type="dxa"/>
            </w:tcMar>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152400" cy="152400"/>
                  <wp:effectExtent b="0" l="0" r="0" t="0"/>
                  <wp:docPr id="147"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52400" cy="152400"/>
                          </a:xfrm>
                          <a:prstGeom prst="rect"/>
                          <a:ln/>
                        </pic:spPr>
                      </pic:pic>
                    </a:graphicData>
                  </a:graphic>
                </wp:inline>
              </w:drawing>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Additional Functions in SAS</w:t>
            </w:r>
          </w:p>
        </w:tc>
      </w:tr>
      <w:tr>
        <w:trPr>
          <w:cantSplit w:val="1"/>
          <w:tblHeader w:val="0"/>
        </w:trPr>
        <w:tc>
          <w:tcPr>
            <w:tcMar>
              <w:top w:w="108.0" w:type="dxa"/>
              <w:bottom w:w="108.0" w:type="dxa"/>
            </w:tcMar>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1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For SAS, there is also an option for polynomial regression, which allows for the analysis of dependent variables with more than two categories.</w:t>
            </w:r>
          </w:p>
        </w:tc>
      </w:tr>
    </w:tbl>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analysis results include regression coefficients, standard errors, and odds ratios, which indicate how the independent variables affect the probability of the outcome occurring.</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bl>
      <w:tblPr>
        <w:tblStyle w:val="Table18"/>
        <w:tblW w:w="9694.0" w:type="dxa"/>
        <w:jc w:val="left"/>
        <w:tblInd w:w="19.999999999999982" w:type="dxa"/>
        <w:tblBorders>
          <w:top w:color="0758e5" w:space="0" w:sz="4" w:val="single"/>
          <w:left w:color="0758e5" w:space="0" w:sz="24" w:val="single"/>
          <w:bottom w:color="0758e5" w:space="0" w:sz="4" w:val="single"/>
          <w:right w:color="0758e5" w:space="0" w:sz="4" w:val="single"/>
        </w:tblBorders>
        <w:tblLayout w:type="fixed"/>
        <w:tblLook w:val="0000"/>
      </w:tblPr>
      <w:tblGrid>
        <w:gridCol w:w="9694"/>
        <w:tblGridChange w:id="0">
          <w:tblGrid>
            <w:gridCol w:w="9694"/>
          </w:tblGrid>
        </w:tblGridChange>
      </w:tblGrid>
      <w:tr>
        <w:trPr>
          <w:cantSplit w:val="1"/>
          <w:tblHeader w:val="0"/>
        </w:trPr>
        <w:tc>
          <w:tcPr>
            <w:shd w:fill="dae6fb" w:val="clear"/>
            <w:tcMar>
              <w:top w:w="92.0" w:type="dxa"/>
              <w:bottom w:w="92.0" w:type="dxa"/>
            </w:tcMar>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152400" cy="152400"/>
                  <wp:effectExtent b="0" l="0" r="0" t="0"/>
                  <wp:docPr id="118"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52400" cy="152400"/>
                          </a:xfrm>
                          <a:prstGeom prst="rect"/>
                          <a:ln/>
                        </pic:spPr>
                      </pic:pic>
                    </a:graphicData>
                  </a:graphic>
                </wp:inline>
              </w:drawing>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Application Example</w:t>
            </w:r>
          </w:p>
        </w:tc>
      </w:tr>
      <w:tr>
        <w:trPr>
          <w:cantSplit w:val="1"/>
          <w:tblHeader w:val="0"/>
        </w:trPr>
        <w:tc>
          <w:tcPr>
            <w:tcMar>
              <w:top w:w="108.0" w:type="dxa"/>
              <w:bottom w:w="108.0" w:type="dxa"/>
            </w:tcMar>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1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It is possible to examine how student’s gender and socioeconomic status impact the likelihood of achieving an ‘advanced’ level in reading (e.g. in the PIRLS study).</w:t>
            </w:r>
          </w:p>
        </w:tc>
      </w:tr>
    </w:tbl>
    <w:bookmarkStart w:colFirst="0" w:colLast="0" w:name="bookmark=id.hxkic97zdj7l" w:id="34"/>
    <w:bookmarkEnd w:id="34"/>
    <w:p w:rsidR="00000000" w:rsidDel="00000000" w:rsidP="00000000" w:rsidRDefault="00000000" w:rsidRPr="00000000" w14:paraId="000000F0">
      <w:pPr>
        <w:pStyle w:val="Heading2"/>
        <w:rPr/>
      </w:pPr>
      <w:bookmarkStart w:colFirst="0" w:colLast="0" w:name="_heading=h.s5mt8rxfoxqz" w:id="35"/>
      <w:bookmarkEnd w:id="35"/>
      <w:r w:rsidDel="00000000" w:rsidR="00000000" w:rsidRPr="00000000">
        <w:rPr>
          <w:rtl w:val="0"/>
        </w:rPr>
      </w:r>
    </w:p>
    <w:p w:rsidR="00000000" w:rsidDel="00000000" w:rsidP="00000000" w:rsidRDefault="00000000" w:rsidRPr="00000000" w14:paraId="000000F1">
      <w:pPr>
        <w:pStyle w:val="Heading2"/>
        <w:rPr/>
      </w:pPr>
      <w:r w:rsidDel="00000000" w:rsidR="00000000" w:rsidRPr="00000000">
        <w:rPr>
          <w:rtl w:val="0"/>
        </w:rPr>
        <w:t xml:space="preserve">3 Example Analysis Using the IEA IDB Analyzer</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following example is based on the PIRLS 2021 study and presents an analysis answering the question: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“What is the average reading score of fourth-grade students - boys and girls”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The analysis will be conducted using the IEA IDB Analyzer program, utilizing official data downloaded from the IEA website.</w:t>
      </w:r>
    </w:p>
    <w:tbl>
      <w:tblPr>
        <w:tblStyle w:val="Table19"/>
        <w:tblW w:w="9694.0" w:type="dxa"/>
        <w:jc w:val="left"/>
        <w:tblInd w:w="19.999999999999982" w:type="dxa"/>
        <w:tblBorders>
          <w:top w:color="0758e5" w:space="0" w:sz="4" w:val="single"/>
          <w:left w:color="0758e5" w:space="0" w:sz="24" w:val="single"/>
          <w:bottom w:color="0758e5" w:space="0" w:sz="4" w:val="single"/>
          <w:right w:color="0758e5" w:space="0" w:sz="4" w:val="single"/>
        </w:tblBorders>
        <w:tblLayout w:type="fixed"/>
        <w:tblLook w:val="0000"/>
      </w:tblPr>
      <w:tblGrid>
        <w:gridCol w:w="9694"/>
        <w:tblGridChange w:id="0">
          <w:tblGrid>
            <w:gridCol w:w="9694"/>
          </w:tblGrid>
        </w:tblGridChange>
      </w:tblGrid>
      <w:tr>
        <w:trPr>
          <w:cantSplit w:val="1"/>
          <w:tblHeader w:val="0"/>
        </w:trPr>
        <w:tc>
          <w:tcPr>
            <w:shd w:fill="dae6fb" w:val="clear"/>
            <w:tcMar>
              <w:top w:w="92.0" w:type="dxa"/>
              <w:bottom w:w="92.0" w:type="dxa"/>
            </w:tcMar>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152400" cy="152400"/>
                  <wp:effectExtent b="0" l="0" r="0" t="0"/>
                  <wp:docPr id="119"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52400" cy="152400"/>
                          </a:xfrm>
                          <a:prstGeom prst="rect"/>
                          <a:ln/>
                        </pic:spPr>
                      </pic:pic>
                    </a:graphicData>
                  </a:graphic>
                </wp:inline>
              </w:drawing>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Context of the Analysis</w:t>
            </w:r>
          </w:p>
        </w:tc>
      </w:tr>
      <w:tr>
        <w:trPr>
          <w:cantSplit w:val="1"/>
          <w:tblHeader w:val="0"/>
        </w:trPr>
        <w:tc>
          <w:tcPr>
            <w:tcMar>
              <w:top w:w="108.0" w:type="dxa"/>
              <w:bottom w:w="108.0" w:type="dxa"/>
            </w:tcMar>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1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results of the analysis correspond to the data presented in Table 5.5 of the </w:t>
            </w:r>
            <w:hyperlink r:id="rId22">
              <w:r w:rsidDel="00000000" w:rsidR="00000000" w:rsidRPr="00000000">
                <w:rPr>
                  <w:rFonts w:ascii="Aptos" w:cs="Aptos" w:eastAsia="Aptos" w:hAnsi="Aptos"/>
                  <w:b w:val="0"/>
                  <w:i w:val="0"/>
                  <w:smallCaps w:val="0"/>
                  <w:strike w:val="0"/>
                  <w:color w:val="156082"/>
                  <w:sz w:val="24"/>
                  <w:szCs w:val="24"/>
                  <w:u w:val="none"/>
                  <w:shd w:fill="auto" w:val="clear"/>
                  <w:vertAlign w:val="baseline"/>
                  <w:rtl w:val="0"/>
                </w:rPr>
                <w:t xml:space="preserve">National PIRLS 2021 Report for Poland (p. 65)</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5334000" cy="6148092"/>
            <wp:effectExtent b="0" l="0" r="0" t="0"/>
            <wp:docPr id="120"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5334000" cy="6148092"/>
                    </a:xfrm>
                    <a:prstGeom prst="rect"/>
                    <a:ln/>
                  </pic:spPr>
                </pic:pic>
              </a:graphicData>
            </a:graphic>
          </wp:inline>
        </w:drawing>
      </w:r>
      <w:r w:rsidDel="00000000" w:rsidR="00000000" w:rsidRPr="00000000">
        <w:rPr>
          <w:rtl w:val="0"/>
        </w:rPr>
      </w:r>
    </w:p>
    <w:bookmarkStart w:colFirst="0" w:colLast="0" w:name="bookmark=id.nu6yynvzg8b7" w:id="36"/>
    <w:bookmarkEnd w:id="36"/>
    <w:p w:rsidR="00000000" w:rsidDel="00000000" w:rsidP="00000000" w:rsidRDefault="00000000" w:rsidRPr="00000000" w14:paraId="000000F6">
      <w:pPr>
        <w:pStyle w:val="Heading3"/>
        <w:rPr/>
      </w:pPr>
      <w:bookmarkStart w:colFirst="0" w:colLast="0" w:name="_heading=h.yda84yu4tu4q" w:id="37"/>
      <w:bookmarkEnd w:id="37"/>
      <w:r w:rsidDel="00000000" w:rsidR="00000000" w:rsidRPr="00000000">
        <w:rPr>
          <w:rtl w:val="0"/>
        </w:rPr>
      </w:r>
    </w:p>
    <w:p w:rsidR="00000000" w:rsidDel="00000000" w:rsidP="00000000" w:rsidRDefault="00000000" w:rsidRPr="00000000" w14:paraId="000000F7">
      <w:pPr>
        <w:pStyle w:val="Heading3"/>
        <w:rPr/>
      </w:pPr>
      <w:r w:rsidDel="00000000" w:rsidR="00000000" w:rsidRPr="00000000">
        <w:rPr>
          <w:rtl w:val="0"/>
        </w:rPr>
        <w:t xml:space="preserve">3.1 Step 1: Downloading and Preparing the Data</w:t>
      </w:r>
    </w:p>
    <w:p w:rsidR="00000000" w:rsidDel="00000000" w:rsidP="00000000" w:rsidRDefault="00000000" w:rsidRPr="00000000" w14:paraId="000000F8">
      <w:pPr>
        <w:numPr>
          <w:ilvl w:val="0"/>
          <w:numId w:val="14"/>
        </w:numPr>
        <w:ind w:left="720" w:hanging="360"/>
        <w:rPr/>
      </w:pPr>
      <w:r w:rsidDel="00000000" w:rsidR="00000000" w:rsidRPr="00000000">
        <w:rPr>
          <w:rtl w:val="0"/>
        </w:rPr>
        <w:t xml:space="preserve">Download the PIRLS 2021 data from the </w:t>
      </w:r>
      <w:hyperlink r:id="rId24">
        <w:r w:rsidDel="00000000" w:rsidR="00000000" w:rsidRPr="00000000">
          <w:rPr>
            <w:color w:val="156082"/>
            <w:rtl w:val="0"/>
          </w:rPr>
          <w:t xml:space="preserve">IEA Study Data Repository</w:t>
        </w:r>
      </w:hyperlink>
      <w:r w:rsidDel="00000000" w:rsidR="00000000" w:rsidRPr="00000000">
        <w:rPr>
          <w:rtl w:val="0"/>
        </w:rPr>
      </w:r>
    </w:p>
    <w:p w:rsidR="00000000" w:rsidDel="00000000" w:rsidP="00000000" w:rsidRDefault="00000000" w:rsidRPr="00000000" w14:paraId="000000F9">
      <w:pPr>
        <w:numPr>
          <w:ilvl w:val="0"/>
          <w:numId w:val="14"/>
        </w:numPr>
        <w:ind w:left="720" w:hanging="360"/>
        <w:rPr/>
      </w:pPr>
      <w:r w:rsidDel="00000000" w:rsidR="00000000" w:rsidRPr="00000000">
        <w:rPr>
          <w:b w:val="1"/>
          <w:rtl w:val="0"/>
        </w:rPr>
        <w:t xml:space="preserve">Combine the data using the Merge Module</w:t>
      </w:r>
      <w:r w:rsidDel="00000000" w:rsidR="00000000" w:rsidRPr="00000000">
        <w:rPr>
          <w:rtl w:val="0"/>
        </w:rPr>
        <w:t xml:space="preserve"> in the IEA IDB Analyzer:</w:t>
      </w:r>
    </w:p>
    <w:p w:rsidR="00000000" w:rsidDel="00000000" w:rsidP="00000000" w:rsidRDefault="00000000" w:rsidRPr="00000000" w14:paraId="000000FA">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36" w:before="36" w:line="240" w:lineRule="auto"/>
        <w:ind w:left="144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Launch the program and select the Merge Module</w:t>
      </w:r>
    </w:p>
    <w:p w:rsidR="00000000" w:rsidDel="00000000" w:rsidP="00000000" w:rsidRDefault="00000000" w:rsidRPr="00000000" w14:paraId="000000FB">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36" w:before="36" w:line="240" w:lineRule="auto"/>
        <w:ind w:left="144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Select the appropriate source data files (Student Background and Student Item Response) following the instruction from section 2.2</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36" w:before="36" w:line="240" w:lineRule="auto"/>
        <w:ind w:left="144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Select the countries you wish to include in the analysis (in this example, Bulgaria, Denmark, Ireland, and Poland were selected)</w:t>
      </w:r>
    </w:p>
    <w:p w:rsidR="00000000" w:rsidDel="00000000" w:rsidP="00000000" w:rsidRDefault="00000000" w:rsidRPr="00000000" w14:paraId="000000FE">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36" w:before="36" w:line="240" w:lineRule="auto"/>
        <w:ind w:left="144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Generate and run the code that will create the merged data file</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144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aj3kfo86g76k" w:id="38"/>
    <w:bookmarkEnd w:id="38"/>
    <w:p w:rsidR="00000000" w:rsidDel="00000000" w:rsidP="00000000" w:rsidRDefault="00000000" w:rsidRPr="00000000" w14:paraId="00000100">
      <w:pPr>
        <w:pStyle w:val="Heading3"/>
        <w:rPr/>
      </w:pPr>
      <w:bookmarkStart w:colFirst="0" w:colLast="0" w:name="_heading=h.qarcoubro0y" w:id="39"/>
      <w:bookmarkEnd w:id="39"/>
      <w:r w:rsidDel="00000000" w:rsidR="00000000" w:rsidRPr="00000000">
        <w:rPr>
          <w:rtl w:val="0"/>
        </w:rPr>
        <w:t xml:space="preserve">3.2 Step 2: Launching the Analysis Module</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5334000" cy="4391853"/>
            <wp:effectExtent b="0" l="0" r="0" t="0"/>
            <wp:docPr id="121"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5334000" cy="4391853"/>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ind w:left="720" w:firstLine="0"/>
        <w:rPr/>
      </w:pPr>
      <w:r w:rsidDel="00000000" w:rsidR="00000000" w:rsidRPr="00000000">
        <w:rPr>
          <w:rtl w:val="0"/>
        </w:rPr>
      </w:r>
    </w:p>
    <w:p w:rsidR="00000000" w:rsidDel="00000000" w:rsidP="00000000" w:rsidRDefault="00000000" w:rsidRPr="00000000" w14:paraId="00000103">
      <w:pPr>
        <w:numPr>
          <w:ilvl w:val="0"/>
          <w:numId w:val="16"/>
        </w:numPr>
        <w:ind w:left="720" w:hanging="360"/>
        <w:rPr/>
      </w:pPr>
      <w:r w:rsidDel="00000000" w:rsidR="00000000" w:rsidRPr="00000000">
        <w:rPr>
          <w:rtl w:val="0"/>
        </w:rPr>
        <w:t xml:space="preserve">Open the </w:t>
      </w:r>
      <w:r w:rsidDel="00000000" w:rsidR="00000000" w:rsidRPr="00000000">
        <w:rPr>
          <w:b w:val="1"/>
          <w:rtl w:val="0"/>
        </w:rPr>
        <w:t xml:space="preserve">Analysis Module</w:t>
      </w:r>
      <w:r w:rsidDel="00000000" w:rsidR="00000000" w:rsidRPr="00000000">
        <w:rPr>
          <w:rtl w:val="0"/>
        </w:rPr>
        <w:t xml:space="preserve"> in the IEA IDB Analyzer</w:t>
      </w:r>
    </w:p>
    <w:p w:rsidR="00000000" w:rsidDel="00000000" w:rsidP="00000000" w:rsidRDefault="00000000" w:rsidRPr="00000000" w14:paraId="00000104">
      <w:pPr>
        <w:numPr>
          <w:ilvl w:val="0"/>
          <w:numId w:val="16"/>
        </w:numPr>
        <w:ind w:left="720" w:hanging="360"/>
        <w:rPr/>
      </w:pPr>
      <w:r w:rsidDel="00000000" w:rsidR="00000000" w:rsidRPr="00000000">
        <w:rPr>
          <w:rtl w:val="0"/>
        </w:rPr>
        <w:t xml:space="preserve">select the merged data file created in the Step 1 as the Analysis File, by clicking the Select button</w:t>
      </w:r>
    </w:p>
    <w:p w:rsidR="00000000" w:rsidDel="00000000" w:rsidP="00000000" w:rsidRDefault="00000000" w:rsidRPr="00000000" w14:paraId="00000105">
      <w:pPr>
        <w:numPr>
          <w:ilvl w:val="0"/>
          <w:numId w:val="16"/>
        </w:numPr>
        <w:ind w:left="720" w:hanging="360"/>
        <w:rPr/>
      </w:pPr>
      <w:r w:rsidDel="00000000" w:rsidR="00000000" w:rsidRPr="00000000">
        <w:rPr>
          <w:rtl w:val="0"/>
        </w:rPr>
        <w:t xml:space="preserve">Choose </w:t>
      </w:r>
      <w:r w:rsidDel="00000000" w:rsidR="00000000" w:rsidRPr="00000000">
        <w:rPr>
          <w:b w:val="1"/>
          <w:rtl w:val="0"/>
        </w:rPr>
        <w:t xml:space="preserve">PIRLS (Using Student Weights)</w:t>
      </w:r>
      <w:r w:rsidDel="00000000" w:rsidR="00000000" w:rsidRPr="00000000">
        <w:rPr>
          <w:rtl w:val="0"/>
        </w:rPr>
        <w:t xml:space="preserve"> as the Analysis Type</w:t>
      </w:r>
    </w:p>
    <w:p w:rsidR="00000000" w:rsidDel="00000000" w:rsidP="00000000" w:rsidRDefault="00000000" w:rsidRPr="00000000" w14:paraId="00000106">
      <w:pPr>
        <w:numPr>
          <w:ilvl w:val="0"/>
          <w:numId w:val="16"/>
        </w:numPr>
        <w:ind w:left="720" w:hanging="360"/>
        <w:rPr/>
      </w:pPr>
      <w:r w:rsidDel="00000000" w:rsidR="00000000" w:rsidRPr="00000000">
        <w:rPr>
          <w:rtl w:val="0"/>
        </w:rPr>
        <w:t xml:space="preserve">Choose </w:t>
      </w:r>
      <w:r w:rsidDel="00000000" w:rsidR="00000000" w:rsidRPr="00000000">
        <w:rPr>
          <w:b w:val="1"/>
          <w:rtl w:val="0"/>
        </w:rPr>
        <w:t xml:space="preserve">Percentages &amp; Means</w:t>
      </w:r>
      <w:r w:rsidDel="00000000" w:rsidR="00000000" w:rsidRPr="00000000">
        <w:rPr>
          <w:rtl w:val="0"/>
        </w:rPr>
        <w:t xml:space="preserve"> as the Statistic Type</w:t>
      </w:r>
    </w:p>
    <w:p w:rsidR="00000000" w:rsidDel="00000000" w:rsidP="00000000" w:rsidRDefault="00000000" w:rsidRPr="00000000" w14:paraId="00000107">
      <w:pPr>
        <w:numPr>
          <w:ilvl w:val="0"/>
          <w:numId w:val="16"/>
        </w:numPr>
        <w:ind w:left="720" w:hanging="360"/>
        <w:rPr/>
      </w:pPr>
      <w:r w:rsidDel="00000000" w:rsidR="00000000" w:rsidRPr="00000000">
        <w:rPr>
          <w:rtl w:val="0"/>
        </w:rPr>
        <w:t xml:space="preserve">Select the </w:t>
      </w:r>
      <w:r w:rsidDel="00000000" w:rsidR="00000000" w:rsidRPr="00000000">
        <w:rPr>
          <w:b w:val="1"/>
          <w:rtl w:val="0"/>
        </w:rPr>
        <w:t xml:space="preserve">Use PVs</w:t>
      </w:r>
      <w:r w:rsidDel="00000000" w:rsidR="00000000" w:rsidRPr="00000000">
        <w:rPr>
          <w:rtl w:val="0"/>
        </w:rPr>
        <w:t xml:space="preserve"> option from the Plausible Value Option menu</w:t>
      </w:r>
    </w:p>
    <w:p w:rsidR="00000000" w:rsidDel="00000000" w:rsidP="00000000" w:rsidRDefault="00000000" w:rsidRPr="00000000" w14:paraId="00000108">
      <w:pPr>
        <w:ind w:left="720" w:firstLine="0"/>
        <w:rPr/>
      </w:pPr>
      <w:r w:rsidDel="00000000" w:rsidR="00000000" w:rsidRPr="00000000">
        <w:rPr>
          <w:rtl w:val="0"/>
        </w:rPr>
      </w:r>
    </w:p>
    <w:tbl>
      <w:tblPr>
        <w:tblStyle w:val="Table20"/>
        <w:tblW w:w="9694.0" w:type="dxa"/>
        <w:jc w:val="left"/>
        <w:tblInd w:w="19.999999999999982" w:type="dxa"/>
        <w:tblBorders>
          <w:top w:color="00a047" w:space="0" w:sz="4" w:val="single"/>
          <w:left w:color="00a047" w:space="0" w:sz="24" w:val="single"/>
          <w:bottom w:color="00a047" w:space="0" w:sz="4" w:val="single"/>
          <w:right w:color="00a047" w:space="0" w:sz="4" w:val="single"/>
        </w:tblBorders>
        <w:tblLayout w:type="fixed"/>
        <w:tblLook w:val="0000"/>
      </w:tblPr>
      <w:tblGrid>
        <w:gridCol w:w="9694"/>
        <w:tblGridChange w:id="0">
          <w:tblGrid>
            <w:gridCol w:w="9694"/>
          </w:tblGrid>
        </w:tblGridChange>
      </w:tblGrid>
      <w:tr>
        <w:trPr>
          <w:cantSplit w:val="1"/>
          <w:tblHeader w:val="0"/>
        </w:trPr>
        <w:tc>
          <w:tcPr>
            <w:shd w:fill="ccf1e3" w:val="clear"/>
            <w:tcMar>
              <w:top w:w="92.0" w:type="dxa"/>
              <w:bottom w:w="92.0" w:type="dxa"/>
            </w:tcMar>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152400" cy="152400"/>
                  <wp:effectExtent b="0" l="0" r="0" t="0"/>
                  <wp:docPr id="122"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152400" cy="152400"/>
                          </a:xfrm>
                          <a:prstGeom prst="rect"/>
                          <a:ln/>
                        </pic:spPr>
                      </pic:pic>
                    </a:graphicData>
                  </a:graphic>
                </wp:inline>
              </w:drawing>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Formatting settings</w:t>
            </w:r>
          </w:p>
        </w:tc>
      </w:tr>
      <w:tr>
        <w:trPr>
          <w:cantSplit w:val="1"/>
          <w:tblHeader w:val="0"/>
        </w:trPr>
        <w:tc>
          <w:tcPr>
            <w:tcMar>
              <w:top w:w="108.0" w:type="dxa"/>
              <w:bottom w:w="108.0" w:type="dxa"/>
            </w:tcMar>
          </w:tcPr>
          <w:p w:rsidR="00000000" w:rsidDel="00000000" w:rsidP="00000000" w:rsidRDefault="00000000" w:rsidRPr="00000000" w14:paraId="0000010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default value in the Number of Decimals menu is set to 2. Changing this value will only affect the number of decimal places visible in the output file</w:t>
            </w:r>
          </w:p>
          <w:p w:rsidR="00000000" w:rsidDel="00000000" w:rsidP="00000000" w:rsidRDefault="00000000" w:rsidRPr="00000000" w14:paraId="0000010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default value in the Show Graphs menu is set to Yes. Selecting Yes will generate graphs in the output file</w:t>
            </w:r>
          </w:p>
        </w:tc>
      </w:tr>
    </w:tbl>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Specify the gender variable (ITSEX)</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as the second grouping variable (the first one is IDCNTRY by default) by clicking on the Grouping Variables field to activate it. Then, select the ITSEX variable from the list of variables in the left panel and move it to the Grouping Variables field by clicking the arrow (→)</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bl>
      <w:tblPr>
        <w:tblStyle w:val="Table21"/>
        <w:tblW w:w="9694.0" w:type="dxa"/>
        <w:jc w:val="left"/>
        <w:tblInd w:w="19.999999999999982" w:type="dxa"/>
        <w:tblBorders>
          <w:top w:color="cc1914" w:space="0" w:sz="4" w:val="single"/>
          <w:left w:color="cc1914" w:space="0" w:sz="24" w:val="single"/>
          <w:bottom w:color="cc1914" w:space="0" w:sz="4" w:val="single"/>
          <w:right w:color="cc1914" w:space="0" w:sz="4" w:val="single"/>
        </w:tblBorders>
        <w:tblLayout w:type="fixed"/>
        <w:tblLook w:val="0000"/>
      </w:tblPr>
      <w:tblGrid>
        <w:gridCol w:w="9694"/>
        <w:tblGridChange w:id="0">
          <w:tblGrid>
            <w:gridCol w:w="9694"/>
          </w:tblGrid>
        </w:tblGridChange>
      </w:tblGrid>
      <w:tr>
        <w:trPr>
          <w:cantSplit w:val="1"/>
          <w:tblHeader w:val="0"/>
        </w:trPr>
        <w:tc>
          <w:tcPr>
            <w:shd w:fill="f7dddc" w:val="clear"/>
            <w:tcMar>
              <w:top w:w="92.0" w:type="dxa"/>
              <w:bottom w:w="92.0" w:type="dxa"/>
            </w:tcMar>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152400" cy="152400"/>
                  <wp:effectExtent b="0" l="0" r="0" t="0"/>
                  <wp:docPr id="12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52400" cy="152400"/>
                          </a:xfrm>
                          <a:prstGeom prst="rect"/>
                          <a:ln/>
                        </pic:spPr>
                      </pic:pic>
                    </a:graphicData>
                  </a:graphic>
                </wp:inline>
              </w:drawing>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Important</w:t>
            </w:r>
          </w:p>
        </w:tc>
      </w:tr>
      <w:tr>
        <w:trPr>
          <w:cantSplit w:val="1"/>
          <w:tblHeader w:val="0"/>
        </w:trPr>
        <w:tc>
          <w:tcPr>
            <w:tcMar>
              <w:top w:w="108.0" w:type="dxa"/>
              <w:bottom w:w="108.0" w:type="dxa"/>
            </w:tcMar>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1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program automatically checks the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Exclude Missing From Analysis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option, which excludes cases with missing data in grouping variables. This option should be selected for this analysis.</w:t>
            </w:r>
          </w:p>
        </w:tc>
      </w:tr>
    </w:tbl>
    <w:p w:rsidR="00000000" w:rsidDel="00000000" w:rsidP="00000000" w:rsidRDefault="00000000" w:rsidRPr="00000000" w14:paraId="00000111">
      <w:pPr>
        <w:ind w:left="720" w:firstLine="0"/>
        <w:rPr/>
      </w:pPr>
      <w:r w:rsidDel="00000000" w:rsidR="00000000" w:rsidRPr="00000000">
        <w:rPr>
          <w:rtl w:val="0"/>
        </w:rPr>
      </w:r>
    </w:p>
    <w:p w:rsidR="00000000" w:rsidDel="00000000" w:rsidP="00000000" w:rsidRDefault="00000000" w:rsidRPr="00000000" w14:paraId="00000112">
      <w:pPr>
        <w:numPr>
          <w:ilvl w:val="0"/>
          <w:numId w:val="19"/>
        </w:numPr>
        <w:ind w:left="720" w:hanging="360"/>
        <w:rPr/>
      </w:pPr>
      <w:r w:rsidDel="00000000" w:rsidR="00000000" w:rsidRPr="00000000">
        <w:rPr>
          <w:rtl w:val="0"/>
        </w:rPr>
        <w:t xml:space="preserve">The </w:t>
      </w:r>
      <w:r w:rsidDel="00000000" w:rsidR="00000000" w:rsidRPr="00000000">
        <w:rPr>
          <w:b w:val="1"/>
          <w:rtl w:val="0"/>
        </w:rPr>
        <w:t xml:space="preserve">Separate Tables by</w:t>
      </w:r>
      <w:r w:rsidDel="00000000" w:rsidR="00000000" w:rsidRPr="00000000">
        <w:rPr>
          <w:rtl w:val="0"/>
        </w:rPr>
        <w:t xml:space="preserve"> field should remain empty (this applies to analyses with multiple grouping variables or dependent variables other than achievement scores).</w:t>
      </w:r>
    </w:p>
    <w:p w:rsidR="00000000" w:rsidDel="00000000" w:rsidP="00000000" w:rsidRDefault="00000000" w:rsidRPr="00000000" w14:paraId="00000113">
      <w:pPr>
        <w:numPr>
          <w:ilvl w:val="0"/>
          <w:numId w:val="19"/>
        </w:numPr>
        <w:ind w:left="720" w:hanging="360"/>
        <w:rPr/>
      </w:pPr>
      <w:r w:rsidDel="00000000" w:rsidR="00000000" w:rsidRPr="00000000">
        <w:rPr>
          <w:b w:val="1"/>
          <w:rtl w:val="0"/>
        </w:rPr>
        <w:t xml:space="preserve">Specify the test scores for analysis</w:t>
      </w:r>
      <w:r w:rsidDel="00000000" w:rsidR="00000000" w:rsidRPr="00000000">
        <w:rPr>
          <w:rtl w:val="0"/>
        </w:rPr>
        <w:t xml:space="preserve">, by first clicking on the Plausible Values field to activate it. Subsequently, select the plausible values set (ASRREA01-05) from the list of available variables in the left panel and move them to the Plausible Values field on the right by clicking the arrow (→)</w:t>
      </w:r>
    </w:p>
    <w:p w:rsidR="00000000" w:rsidDel="00000000" w:rsidP="00000000" w:rsidRDefault="00000000" w:rsidRPr="00000000" w14:paraId="00000114">
      <w:pPr>
        <w:numPr>
          <w:ilvl w:val="0"/>
          <w:numId w:val="19"/>
        </w:numPr>
        <w:ind w:left="720" w:hanging="360"/>
        <w:rPr/>
      </w:pPr>
      <w:r w:rsidDel="00000000" w:rsidR="00000000" w:rsidRPr="00000000">
        <w:rPr>
          <w:rtl w:val="0"/>
        </w:rPr>
        <w:t xml:space="preserve">The weight variable is automatically selected by the program; for student context data, TOTWGT is selected by default.</w:t>
      </w:r>
    </w:p>
    <w:p w:rsidR="00000000" w:rsidDel="00000000" w:rsidP="00000000" w:rsidRDefault="00000000" w:rsidRPr="00000000" w14:paraId="00000115">
      <w:pPr>
        <w:numPr>
          <w:ilvl w:val="0"/>
          <w:numId w:val="19"/>
        </w:numPr>
        <w:ind w:left="720" w:hanging="360"/>
        <w:rPr/>
      </w:pPr>
      <w:r w:rsidDel="00000000" w:rsidR="00000000" w:rsidRPr="00000000">
        <w:rPr>
          <w:b w:val="1"/>
          <w:rtl w:val="0"/>
        </w:rPr>
        <w:t xml:space="preserve">Specify the name of the output files</w:t>
      </w:r>
      <w:r w:rsidDel="00000000" w:rsidR="00000000" w:rsidRPr="00000000">
        <w:rPr>
          <w:rtl w:val="0"/>
        </w:rPr>
        <w:t xml:space="preserve"> and the folder where they will be saved by clicking the Define button in the Output Files field. IEA IDB Analyzer will additionally create an R script (</w:t>
      </w:r>
      <w:r w:rsidDel="00000000" w:rsidR="00000000" w:rsidRPr="00000000">
        <w:rPr>
          <w:rFonts w:ascii="Consolas" w:cs="Consolas" w:eastAsia="Consolas" w:hAnsi="Consolas"/>
          <w:sz w:val="22"/>
          <w:szCs w:val="22"/>
          <w:rtl w:val="0"/>
        </w:rPr>
        <w:t xml:space="preserve">.R</w:t>
      </w:r>
      <w:r w:rsidDel="00000000" w:rsidR="00000000" w:rsidRPr="00000000">
        <w:rPr>
          <w:rtl w:val="0"/>
        </w:rPr>
        <w:t xml:space="preserve">), SPSS syntax (</w:t>
      </w:r>
      <w:r w:rsidDel="00000000" w:rsidR="00000000" w:rsidRPr="00000000">
        <w:rPr>
          <w:rFonts w:ascii="Consolas" w:cs="Consolas" w:eastAsia="Consolas" w:hAnsi="Consolas"/>
          <w:sz w:val="22"/>
          <w:szCs w:val="22"/>
          <w:rtl w:val="0"/>
        </w:rPr>
        <w:t xml:space="preserve">.SPS</w:t>
      </w:r>
      <w:r w:rsidDel="00000000" w:rsidR="00000000" w:rsidRPr="00000000">
        <w:rPr>
          <w:rtl w:val="0"/>
        </w:rPr>
        <w:t xml:space="preserve">) or SAS syntax (</w:t>
      </w:r>
      <w:r w:rsidDel="00000000" w:rsidR="00000000" w:rsidRPr="00000000">
        <w:rPr>
          <w:rFonts w:ascii="Consolas" w:cs="Consolas" w:eastAsia="Consolas" w:hAnsi="Consolas"/>
          <w:sz w:val="22"/>
          <w:szCs w:val="22"/>
          <w:rtl w:val="0"/>
        </w:rPr>
        <w:t xml:space="preserve">.SAS</w:t>
      </w:r>
      <w:r w:rsidDel="00000000" w:rsidR="00000000" w:rsidRPr="00000000">
        <w:rPr>
          <w:rtl w:val="0"/>
        </w:rPr>
        <w:t xml:space="preserve">) with the same name and in the same folder, containing the necessary code for analysis</w:t>
      </w:r>
    </w:p>
    <w:p w:rsidR="00000000" w:rsidDel="00000000" w:rsidP="00000000" w:rsidRDefault="00000000" w:rsidRPr="00000000" w14:paraId="00000116">
      <w:pPr>
        <w:ind w:left="720" w:firstLine="0"/>
        <w:rPr/>
      </w:pPr>
      <w:r w:rsidDel="00000000" w:rsidR="00000000" w:rsidRPr="00000000">
        <w:rPr>
          <w:rtl w:val="0"/>
        </w:rPr>
      </w:r>
    </w:p>
    <w:tbl>
      <w:tblPr>
        <w:tblStyle w:val="Table22"/>
        <w:tblW w:w="9694.0" w:type="dxa"/>
        <w:jc w:val="left"/>
        <w:tblInd w:w="19.999999999999982" w:type="dxa"/>
        <w:tblBorders>
          <w:top w:color="0758e5" w:space="0" w:sz="4" w:val="single"/>
          <w:left w:color="0758e5" w:space="0" w:sz="24" w:val="single"/>
          <w:bottom w:color="0758e5" w:space="0" w:sz="4" w:val="single"/>
          <w:right w:color="0758e5" w:space="0" w:sz="4" w:val="single"/>
        </w:tblBorders>
        <w:tblLayout w:type="fixed"/>
        <w:tblLook w:val="0000"/>
      </w:tblPr>
      <w:tblGrid>
        <w:gridCol w:w="9694"/>
        <w:tblGridChange w:id="0">
          <w:tblGrid>
            <w:gridCol w:w="9694"/>
          </w:tblGrid>
        </w:tblGridChange>
      </w:tblGrid>
      <w:tr>
        <w:trPr>
          <w:cantSplit w:val="1"/>
          <w:tblHeader w:val="0"/>
        </w:trPr>
        <w:tc>
          <w:tcPr>
            <w:shd w:fill="dae6fb" w:val="clear"/>
            <w:tcMar>
              <w:top w:w="92.0" w:type="dxa"/>
              <w:bottom w:w="92.0" w:type="dxa"/>
            </w:tcMar>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152400" cy="152400"/>
                  <wp:effectExtent b="0" l="0" r="0" t="0"/>
                  <wp:docPr id="124"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52400" cy="152400"/>
                          </a:xfrm>
                          <a:prstGeom prst="rect"/>
                          <a:ln/>
                        </pic:spPr>
                      </pic:pic>
                    </a:graphicData>
                  </a:graphic>
                </wp:inline>
              </w:drawing>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Naming example</w:t>
            </w:r>
          </w:p>
        </w:tc>
      </w:tr>
      <w:tr>
        <w:trPr>
          <w:cantSplit w:val="1"/>
          <w:tblHeader w:val="0"/>
        </w:trPr>
        <w:tc>
          <w:tcPr>
            <w:tcMar>
              <w:top w:w="108.0" w:type="dxa"/>
              <w:bottom w:w="108.0" w:type="dxa"/>
            </w:tcMar>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1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script and output files can be named ResultsSex and saved in the </w:t>
            </w:r>
            <w:r w:rsidDel="00000000" w:rsidR="00000000" w:rsidRPr="00000000">
              <w:rPr>
                <w:rFonts w:ascii="Consolas" w:cs="Consolas" w:eastAsia="Consolas" w:hAnsi="Consolas"/>
                <w:b w:val="0"/>
                <w:i w:val="0"/>
                <w:smallCaps w:val="0"/>
                <w:strike w:val="0"/>
                <w:color w:val="000000"/>
                <w:sz w:val="22"/>
                <w:szCs w:val="22"/>
                <w:u w:val="none"/>
                <w:shd w:fill="auto" w:val="clear"/>
                <w:vertAlign w:val="baseline"/>
                <w:rtl w:val="0"/>
              </w:rPr>
              <w:t xml:space="preserve">C:\PIRLS2021\Analyses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folder</w:t>
            </w:r>
          </w:p>
        </w:tc>
      </w:tr>
    </w:tbl>
    <w:p w:rsidR="00000000" w:rsidDel="00000000" w:rsidP="00000000" w:rsidRDefault="00000000" w:rsidRPr="00000000" w14:paraId="00000119">
      <w:pPr>
        <w:ind w:left="720" w:firstLine="0"/>
        <w:rPr/>
      </w:pPr>
      <w:r w:rsidDel="00000000" w:rsidR="00000000" w:rsidRPr="00000000">
        <w:rPr>
          <w:rtl w:val="0"/>
        </w:rPr>
      </w:r>
    </w:p>
    <w:p w:rsidR="00000000" w:rsidDel="00000000" w:rsidP="00000000" w:rsidRDefault="00000000" w:rsidRPr="00000000" w14:paraId="0000011A">
      <w:pPr>
        <w:numPr>
          <w:ilvl w:val="0"/>
          <w:numId w:val="20"/>
        </w:numPr>
        <w:ind w:left="720" w:hanging="360"/>
        <w:rPr/>
      </w:pPr>
      <w:r w:rsidDel="00000000" w:rsidR="00000000" w:rsidRPr="00000000">
        <w:rPr>
          <w:b w:val="1"/>
          <w:rtl w:val="0"/>
        </w:rPr>
        <w:t xml:space="preserve">Click the Start R button</w:t>
      </w:r>
      <w:r w:rsidDel="00000000" w:rsidR="00000000" w:rsidRPr="00000000">
        <w:rPr>
          <w:rtl w:val="0"/>
        </w:rPr>
        <w:t xml:space="preserve"> (or Start SPSS/SAS) to create the R script (or SPSS/SAS syntax) and open it for execution. The program will display a warning if the file in the specified folder is about to be overwritten.</w:t>
      </w:r>
    </w:p>
    <w:p w:rsidR="00000000" w:rsidDel="00000000" w:rsidP="00000000" w:rsidRDefault="00000000" w:rsidRPr="00000000" w14:paraId="0000011B">
      <w:pPr>
        <w:numPr>
          <w:ilvl w:val="0"/>
          <w:numId w:val="20"/>
        </w:numPr>
        <w:ind w:left="720" w:hanging="360"/>
        <w:rPr/>
      </w:pPr>
      <w:r w:rsidDel="00000000" w:rsidR="00000000" w:rsidRPr="00000000">
        <w:rPr>
          <w:b w:val="1"/>
          <w:rtl w:val="0"/>
        </w:rPr>
        <w:t xml:space="preserve">Run the script</w:t>
      </w:r>
      <w:r w:rsidDel="00000000" w:rsidR="00000000" w:rsidRPr="00000000">
        <w:rPr>
          <w:rtl w:val="0"/>
        </w:rPr>
        <w:t xml:space="preserve">: In R, the script can be executed by clicking Source button or by pressing Ctrl + Shift + Enter on the keyboard. In SPSS, open the Run menu and select All. In SAS, click the Run button (or select Submit in the Run menu)</w:t>
      </w:r>
    </w:p>
    <w:bookmarkStart w:colFirst="0" w:colLast="0" w:name="bookmark=id.qbvwq2td7xkl" w:id="40"/>
    <w:bookmarkEnd w:id="40"/>
    <w:p w:rsidR="00000000" w:rsidDel="00000000" w:rsidP="00000000" w:rsidRDefault="00000000" w:rsidRPr="00000000" w14:paraId="0000011C">
      <w:pPr>
        <w:pStyle w:val="Heading3"/>
        <w:rPr/>
      </w:pPr>
      <w:bookmarkStart w:colFirst="0" w:colLast="0" w:name="_heading=h.35ajdgyinrft" w:id="41"/>
      <w:bookmarkEnd w:id="41"/>
      <w:r w:rsidDel="00000000" w:rsidR="00000000" w:rsidRPr="00000000">
        <w:rPr>
          <w:rtl w:val="0"/>
        </w:rPr>
        <w:t xml:space="preserve">3.3 Interpreting the Results</w:t>
      </w:r>
    </w:p>
    <w:tbl>
      <w:tblPr>
        <w:tblStyle w:val="Table23"/>
        <w:tblW w:w="9694.0" w:type="dxa"/>
        <w:jc w:val="left"/>
        <w:tblInd w:w="19.999999999999982" w:type="dxa"/>
        <w:tblBorders>
          <w:top w:color="cc1914" w:space="0" w:sz="4" w:val="single"/>
          <w:left w:color="cc1914" w:space="0" w:sz="24" w:val="single"/>
          <w:bottom w:color="cc1914" w:space="0" w:sz="4" w:val="single"/>
          <w:right w:color="cc1914" w:space="0" w:sz="4" w:val="single"/>
        </w:tblBorders>
        <w:tblLayout w:type="fixed"/>
        <w:tblLook w:val="0000"/>
      </w:tblPr>
      <w:tblGrid>
        <w:gridCol w:w="9694"/>
        <w:tblGridChange w:id="0">
          <w:tblGrid>
            <w:gridCol w:w="9694"/>
          </w:tblGrid>
        </w:tblGridChange>
      </w:tblGrid>
      <w:tr>
        <w:trPr>
          <w:cantSplit w:val="1"/>
          <w:tblHeader w:val="0"/>
        </w:trPr>
        <w:tc>
          <w:tcPr>
            <w:shd w:fill="f7dddc" w:val="clear"/>
            <w:tcMar>
              <w:top w:w="92.0" w:type="dxa"/>
              <w:bottom w:w="92.0" w:type="dxa"/>
            </w:tcMar>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152400" cy="152400"/>
                  <wp:effectExtent b="0" l="0" r="0" t="0"/>
                  <wp:docPr id="12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52400" cy="152400"/>
                          </a:xfrm>
                          <a:prstGeom prst="rect"/>
                          <a:ln/>
                        </pic:spPr>
                      </pic:pic>
                    </a:graphicData>
                  </a:graphic>
                </wp:inline>
              </w:drawing>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Output files</w:t>
            </w:r>
          </w:p>
        </w:tc>
      </w:tr>
      <w:tr>
        <w:trPr>
          <w:cantSplit w:val="1"/>
          <w:tblHeader w:val="0"/>
        </w:trPr>
        <w:tc>
          <w:tcPr>
            <w:tcMar>
              <w:top w:w="108.0" w:type="dxa"/>
              <w:bottom w:w="108.0" w:type="dxa"/>
            </w:tcMar>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IEA IDB Analyzer generates and saves results in the output directory specified in Step 10. For the Percentages &amp; Means statistics with an additional grouping variable (i.e., gender, alongside IDCNTRY), two additional result files are generated:</w:t>
            </w:r>
          </w:p>
          <w:p w:rsidR="00000000" w:rsidDel="00000000" w:rsidP="00000000" w:rsidRDefault="00000000" w:rsidRPr="00000000" w14:paraId="0000011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 file with the **“_sig”** suffix, which reports the statistical significance of the differences between the analysis groups - in this case, between boys and girls - for each country</w:t>
            </w:r>
          </w:p>
          <w:p w:rsidR="00000000" w:rsidDel="00000000" w:rsidP="00000000" w:rsidRDefault="00000000" w:rsidRPr="00000000" w14:paraId="0000012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 file with the **“_sig2”** suffix, which reports the statistical significance of differences between countries within each gender group</w:t>
            </w:r>
          </w:p>
        </w:tc>
      </w:tr>
    </w:tbl>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output file “_sig” generated for the analysis performed in R is presented below.</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5334000" cy="2653775"/>
            <wp:effectExtent b="0" l="0" r="0" t="0"/>
            <wp:docPr id="126"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5334000" cy="2653775"/>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In the results table we can read that girls in Poland achieved an average score of 559.75 (standard error: 2.48), while boys scored 539.69 (standard error: 2.71). Therefore, the difference is 20.06 points.</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5334000" cy="899285"/>
            <wp:effectExtent b="0" l="0" r="0" t="0"/>
            <wp:docPr id="127"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5334000" cy="899285"/>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Statistical significance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of the gender differences is determined based on the output file with the “_sig” suffix. In the mnpvdiff column, the difference in average scores is reported, and in the mnpvdiff_se column, its standard error.The ratio of these values gives the t-statistics (mnpvdiff_t). For a significance level of α = 0.05, t-values below -1.96 or above +1.96 indicate statistically significant differences. In the case of Poland, the t-value is -6.80, meaning that the difference between genders is statistically significant.</w:t>
      </w:r>
    </w:p>
    <w:sectPr>
      <w:pgSz w:h="15840" w:w="12240"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nsolas"/>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7">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4"/>
      <w:numFmt w:val="decimal"/>
      <w:lvlText w:val="%1."/>
      <w:lvlJc w:val="left"/>
      <w:pPr>
        <w:ind w:left="720" w:hanging="360"/>
      </w:pPr>
      <w:rPr/>
    </w:lvl>
    <w:lvl w:ilvl="1">
      <w:start w:val="4"/>
      <w:numFmt w:val="decimal"/>
      <w:lvlText w:val="%2."/>
      <w:lvlJc w:val="left"/>
      <w:pPr>
        <w:ind w:left="1440" w:hanging="360"/>
      </w:pPr>
      <w:rPr/>
    </w:lvl>
    <w:lvl w:ilvl="2">
      <w:start w:val="4"/>
      <w:numFmt w:val="decimal"/>
      <w:lvlText w:val="%3."/>
      <w:lvlJc w:val="left"/>
      <w:pPr>
        <w:ind w:left="2160" w:hanging="360"/>
      </w:pPr>
      <w:rPr/>
    </w:lvl>
    <w:lvl w:ilvl="3">
      <w:start w:val="4"/>
      <w:numFmt w:val="decimal"/>
      <w:lvlText w:val="%4."/>
      <w:lvlJc w:val="left"/>
      <w:pPr>
        <w:ind w:left="2880" w:hanging="360"/>
      </w:pPr>
      <w:rPr/>
    </w:lvl>
    <w:lvl w:ilvl="4">
      <w:start w:val="4"/>
      <w:numFmt w:val="decimal"/>
      <w:lvlText w:val="%5."/>
      <w:lvlJc w:val="left"/>
      <w:pPr>
        <w:ind w:left="3600" w:hanging="360"/>
      </w:pPr>
      <w:rPr/>
    </w:lvl>
    <w:lvl w:ilvl="5">
      <w:start w:val="4"/>
      <w:numFmt w:val="decimal"/>
      <w:lvlText w:val="%6."/>
      <w:lvlJc w:val="left"/>
      <w:pPr>
        <w:ind w:left="4320" w:hanging="360"/>
      </w:pPr>
      <w:rPr/>
    </w:lvl>
    <w:lvl w:ilvl="6">
      <w:start w:val="4"/>
      <w:numFmt w:val="decimal"/>
      <w:lvlText w:val="%7."/>
      <w:lvlJc w:val="left"/>
      <w:pPr>
        <w:ind w:left="5040" w:hanging="360"/>
      </w:pPr>
      <w:rPr/>
    </w:lvl>
    <w:lvl w:ilvl="7">
      <w:start w:val="4"/>
      <w:numFmt w:val="decimal"/>
      <w:lvlText w:val="%8."/>
      <w:lvlJc w:val="left"/>
      <w:pPr>
        <w:ind w:left="5760" w:hanging="360"/>
      </w:pPr>
      <w:rPr/>
    </w:lvl>
    <w:lvl w:ilvl="8">
      <w:start w:val="4"/>
      <w:numFmt w:val="decimal"/>
      <w:lvlText w:val="%9."/>
      <w:lvlJc w:val="left"/>
      <w:pPr>
        <w:ind w:left="6480" w:hanging="360"/>
      </w:pPr>
      <w:rPr/>
    </w:lvl>
  </w:abstractNum>
  <w:abstractNum w:abstractNumId="10">
    <w:lvl w:ilvl="0">
      <w:start w:val="6"/>
      <w:numFmt w:val="decimal"/>
      <w:lvlText w:val="%1."/>
      <w:lvlJc w:val="left"/>
      <w:pPr>
        <w:ind w:left="720" w:hanging="360"/>
      </w:pPr>
      <w:rPr/>
    </w:lvl>
    <w:lvl w:ilvl="1">
      <w:start w:val="6"/>
      <w:numFmt w:val="decimal"/>
      <w:lvlText w:val="%2."/>
      <w:lvlJc w:val="left"/>
      <w:pPr>
        <w:ind w:left="1440" w:hanging="360"/>
      </w:pPr>
      <w:rPr/>
    </w:lvl>
    <w:lvl w:ilvl="2">
      <w:start w:val="6"/>
      <w:numFmt w:val="decimal"/>
      <w:lvlText w:val="%3."/>
      <w:lvlJc w:val="left"/>
      <w:pPr>
        <w:ind w:left="2160" w:hanging="360"/>
      </w:pPr>
      <w:rPr/>
    </w:lvl>
    <w:lvl w:ilvl="3">
      <w:start w:val="6"/>
      <w:numFmt w:val="decimal"/>
      <w:lvlText w:val="%4."/>
      <w:lvlJc w:val="left"/>
      <w:pPr>
        <w:ind w:left="2880" w:hanging="360"/>
      </w:pPr>
      <w:rPr/>
    </w:lvl>
    <w:lvl w:ilvl="4">
      <w:start w:val="6"/>
      <w:numFmt w:val="decimal"/>
      <w:lvlText w:val="%5."/>
      <w:lvlJc w:val="left"/>
      <w:pPr>
        <w:ind w:left="3600" w:hanging="360"/>
      </w:pPr>
      <w:rPr/>
    </w:lvl>
    <w:lvl w:ilvl="5">
      <w:start w:val="6"/>
      <w:numFmt w:val="decimal"/>
      <w:lvlText w:val="%6."/>
      <w:lvlJc w:val="left"/>
      <w:pPr>
        <w:ind w:left="4320" w:hanging="360"/>
      </w:pPr>
      <w:rPr/>
    </w:lvl>
    <w:lvl w:ilvl="6">
      <w:start w:val="6"/>
      <w:numFmt w:val="decimal"/>
      <w:lvlText w:val="%7."/>
      <w:lvlJc w:val="left"/>
      <w:pPr>
        <w:ind w:left="5040" w:hanging="360"/>
      </w:pPr>
      <w:rPr/>
    </w:lvl>
    <w:lvl w:ilvl="7">
      <w:start w:val="6"/>
      <w:numFmt w:val="decimal"/>
      <w:lvlText w:val="%8."/>
      <w:lvlJc w:val="left"/>
      <w:pPr>
        <w:ind w:left="5760" w:hanging="360"/>
      </w:pPr>
      <w:rPr/>
    </w:lvl>
    <w:lvl w:ilvl="8">
      <w:start w:val="6"/>
      <w:numFmt w:val="decimal"/>
      <w:lvlText w:val="%9."/>
      <w:lvlJc w:val="left"/>
      <w:pPr>
        <w:ind w:left="6480" w:hanging="360"/>
      </w:pPr>
      <w:rPr/>
    </w:lvl>
  </w:abstractNum>
  <w:abstractNum w:abstractNumId="11">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12">
    <w:lvl w:ilvl="0">
      <w:start w:val="7"/>
      <w:numFmt w:val="decimal"/>
      <w:lvlText w:val="%1."/>
      <w:lvlJc w:val="left"/>
      <w:pPr>
        <w:ind w:left="720" w:hanging="360"/>
      </w:pPr>
      <w:rPr/>
    </w:lvl>
    <w:lvl w:ilvl="1">
      <w:start w:val="7"/>
      <w:numFmt w:val="decimal"/>
      <w:lvlText w:val="%2."/>
      <w:lvlJc w:val="left"/>
      <w:pPr>
        <w:ind w:left="1440" w:hanging="360"/>
      </w:pPr>
      <w:rPr/>
    </w:lvl>
    <w:lvl w:ilvl="2">
      <w:start w:val="7"/>
      <w:numFmt w:val="decimal"/>
      <w:lvlText w:val="%3."/>
      <w:lvlJc w:val="left"/>
      <w:pPr>
        <w:ind w:left="2160" w:hanging="360"/>
      </w:pPr>
      <w:rPr/>
    </w:lvl>
    <w:lvl w:ilvl="3">
      <w:start w:val="7"/>
      <w:numFmt w:val="decimal"/>
      <w:lvlText w:val="%4."/>
      <w:lvlJc w:val="left"/>
      <w:pPr>
        <w:ind w:left="2880" w:hanging="360"/>
      </w:pPr>
      <w:rPr/>
    </w:lvl>
    <w:lvl w:ilvl="4">
      <w:start w:val="7"/>
      <w:numFmt w:val="decimal"/>
      <w:lvlText w:val="%5."/>
      <w:lvlJc w:val="left"/>
      <w:pPr>
        <w:ind w:left="3600" w:hanging="360"/>
      </w:pPr>
      <w:rPr/>
    </w:lvl>
    <w:lvl w:ilvl="5">
      <w:start w:val="7"/>
      <w:numFmt w:val="decimal"/>
      <w:lvlText w:val="%6."/>
      <w:lvlJc w:val="left"/>
      <w:pPr>
        <w:ind w:left="4320" w:hanging="360"/>
      </w:pPr>
      <w:rPr/>
    </w:lvl>
    <w:lvl w:ilvl="6">
      <w:start w:val="7"/>
      <w:numFmt w:val="decimal"/>
      <w:lvlText w:val="%7."/>
      <w:lvlJc w:val="left"/>
      <w:pPr>
        <w:ind w:left="5040" w:hanging="360"/>
      </w:pPr>
      <w:rPr/>
    </w:lvl>
    <w:lvl w:ilvl="7">
      <w:start w:val="7"/>
      <w:numFmt w:val="decimal"/>
      <w:lvlText w:val="%8."/>
      <w:lvlJc w:val="left"/>
      <w:pPr>
        <w:ind w:left="5760" w:hanging="360"/>
      </w:pPr>
      <w:rPr/>
    </w:lvl>
    <w:lvl w:ilvl="8">
      <w:start w:val="7"/>
      <w:numFmt w:val="decimal"/>
      <w:lvlText w:val="%9."/>
      <w:lvlJc w:val="left"/>
      <w:pPr>
        <w:ind w:left="6480" w:hanging="360"/>
      </w:pPr>
      <w:rPr/>
    </w:lvl>
  </w:abstractNum>
  <w:abstractNum w:abstractNumId="13">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18">
    <w:lvl w:ilvl="0">
      <w:start w:val="6"/>
      <w:numFmt w:val="decimal"/>
      <w:lvlText w:val="%1."/>
      <w:lvlJc w:val="left"/>
      <w:pPr>
        <w:ind w:left="720" w:hanging="360"/>
      </w:pPr>
      <w:rPr/>
    </w:lvl>
    <w:lvl w:ilvl="1">
      <w:start w:val="6"/>
      <w:numFmt w:val="decimal"/>
      <w:lvlText w:val="%2."/>
      <w:lvlJc w:val="left"/>
      <w:pPr>
        <w:ind w:left="1440" w:hanging="360"/>
      </w:pPr>
      <w:rPr/>
    </w:lvl>
    <w:lvl w:ilvl="2">
      <w:start w:val="6"/>
      <w:numFmt w:val="decimal"/>
      <w:lvlText w:val="%3."/>
      <w:lvlJc w:val="left"/>
      <w:pPr>
        <w:ind w:left="2160" w:hanging="360"/>
      </w:pPr>
      <w:rPr/>
    </w:lvl>
    <w:lvl w:ilvl="3">
      <w:start w:val="6"/>
      <w:numFmt w:val="decimal"/>
      <w:lvlText w:val="%4."/>
      <w:lvlJc w:val="left"/>
      <w:pPr>
        <w:ind w:left="2880" w:hanging="360"/>
      </w:pPr>
      <w:rPr/>
    </w:lvl>
    <w:lvl w:ilvl="4">
      <w:start w:val="6"/>
      <w:numFmt w:val="decimal"/>
      <w:lvlText w:val="%5."/>
      <w:lvlJc w:val="left"/>
      <w:pPr>
        <w:ind w:left="3600" w:hanging="360"/>
      </w:pPr>
      <w:rPr/>
    </w:lvl>
    <w:lvl w:ilvl="5">
      <w:start w:val="6"/>
      <w:numFmt w:val="decimal"/>
      <w:lvlText w:val="%6."/>
      <w:lvlJc w:val="left"/>
      <w:pPr>
        <w:ind w:left="4320" w:hanging="360"/>
      </w:pPr>
      <w:rPr/>
    </w:lvl>
    <w:lvl w:ilvl="6">
      <w:start w:val="6"/>
      <w:numFmt w:val="decimal"/>
      <w:lvlText w:val="%7."/>
      <w:lvlJc w:val="left"/>
      <w:pPr>
        <w:ind w:left="5040" w:hanging="360"/>
      </w:pPr>
      <w:rPr/>
    </w:lvl>
    <w:lvl w:ilvl="7">
      <w:start w:val="6"/>
      <w:numFmt w:val="decimal"/>
      <w:lvlText w:val="%8."/>
      <w:lvlJc w:val="left"/>
      <w:pPr>
        <w:ind w:left="5760" w:hanging="360"/>
      </w:pPr>
      <w:rPr/>
    </w:lvl>
    <w:lvl w:ilvl="8">
      <w:start w:val="6"/>
      <w:numFmt w:val="decimal"/>
      <w:lvlText w:val="%9."/>
      <w:lvlJc w:val="left"/>
      <w:pPr>
        <w:ind w:left="6480" w:hanging="360"/>
      </w:pPr>
      <w:rPr/>
    </w:lvl>
  </w:abstractNum>
  <w:abstractNum w:abstractNumId="19">
    <w:lvl w:ilvl="0">
      <w:start w:val="7"/>
      <w:numFmt w:val="decimal"/>
      <w:lvlText w:val="%1."/>
      <w:lvlJc w:val="left"/>
      <w:pPr>
        <w:ind w:left="720" w:hanging="360"/>
      </w:pPr>
      <w:rPr/>
    </w:lvl>
    <w:lvl w:ilvl="1">
      <w:start w:val="7"/>
      <w:numFmt w:val="decimal"/>
      <w:lvlText w:val="%2."/>
      <w:lvlJc w:val="left"/>
      <w:pPr>
        <w:ind w:left="1440" w:hanging="360"/>
      </w:pPr>
      <w:rPr/>
    </w:lvl>
    <w:lvl w:ilvl="2">
      <w:start w:val="7"/>
      <w:numFmt w:val="decimal"/>
      <w:lvlText w:val="%3."/>
      <w:lvlJc w:val="left"/>
      <w:pPr>
        <w:ind w:left="2160" w:hanging="360"/>
      </w:pPr>
      <w:rPr/>
    </w:lvl>
    <w:lvl w:ilvl="3">
      <w:start w:val="7"/>
      <w:numFmt w:val="decimal"/>
      <w:lvlText w:val="%4."/>
      <w:lvlJc w:val="left"/>
      <w:pPr>
        <w:ind w:left="2880" w:hanging="360"/>
      </w:pPr>
      <w:rPr/>
    </w:lvl>
    <w:lvl w:ilvl="4">
      <w:start w:val="7"/>
      <w:numFmt w:val="decimal"/>
      <w:lvlText w:val="%5."/>
      <w:lvlJc w:val="left"/>
      <w:pPr>
        <w:ind w:left="3600" w:hanging="360"/>
      </w:pPr>
      <w:rPr/>
    </w:lvl>
    <w:lvl w:ilvl="5">
      <w:start w:val="7"/>
      <w:numFmt w:val="decimal"/>
      <w:lvlText w:val="%6."/>
      <w:lvlJc w:val="left"/>
      <w:pPr>
        <w:ind w:left="4320" w:hanging="360"/>
      </w:pPr>
      <w:rPr/>
    </w:lvl>
    <w:lvl w:ilvl="6">
      <w:start w:val="7"/>
      <w:numFmt w:val="decimal"/>
      <w:lvlText w:val="%7."/>
      <w:lvlJc w:val="left"/>
      <w:pPr>
        <w:ind w:left="5040" w:hanging="360"/>
      </w:pPr>
      <w:rPr/>
    </w:lvl>
    <w:lvl w:ilvl="7">
      <w:start w:val="7"/>
      <w:numFmt w:val="decimal"/>
      <w:lvlText w:val="%8."/>
      <w:lvlJc w:val="left"/>
      <w:pPr>
        <w:ind w:left="5760" w:hanging="360"/>
      </w:pPr>
      <w:rPr/>
    </w:lvl>
    <w:lvl w:ilvl="8">
      <w:start w:val="7"/>
      <w:numFmt w:val="decimal"/>
      <w:lvlText w:val="%9."/>
      <w:lvlJc w:val="left"/>
      <w:pPr>
        <w:ind w:left="6480" w:hanging="360"/>
      </w:pPr>
      <w:rPr/>
    </w:lvl>
  </w:abstractNum>
  <w:abstractNum w:abstractNumId="20">
    <w:lvl w:ilvl="0">
      <w:start w:val="11"/>
      <w:numFmt w:val="decimal"/>
      <w:lvlText w:val="%1."/>
      <w:lvlJc w:val="left"/>
      <w:pPr>
        <w:ind w:left="720" w:hanging="360"/>
      </w:pPr>
      <w:rPr/>
    </w:lvl>
    <w:lvl w:ilvl="1">
      <w:start w:val="11"/>
      <w:numFmt w:val="decimal"/>
      <w:lvlText w:val="%2."/>
      <w:lvlJc w:val="left"/>
      <w:pPr>
        <w:ind w:left="1440" w:hanging="360"/>
      </w:pPr>
      <w:rPr/>
    </w:lvl>
    <w:lvl w:ilvl="2">
      <w:start w:val="11"/>
      <w:numFmt w:val="decimal"/>
      <w:lvlText w:val="%3."/>
      <w:lvlJc w:val="left"/>
      <w:pPr>
        <w:ind w:left="2160" w:hanging="360"/>
      </w:pPr>
      <w:rPr/>
    </w:lvl>
    <w:lvl w:ilvl="3">
      <w:start w:val="11"/>
      <w:numFmt w:val="decimal"/>
      <w:lvlText w:val="%4."/>
      <w:lvlJc w:val="left"/>
      <w:pPr>
        <w:ind w:left="2880" w:hanging="360"/>
      </w:pPr>
      <w:rPr/>
    </w:lvl>
    <w:lvl w:ilvl="4">
      <w:start w:val="11"/>
      <w:numFmt w:val="decimal"/>
      <w:lvlText w:val="%5."/>
      <w:lvlJc w:val="left"/>
      <w:pPr>
        <w:ind w:left="3600" w:hanging="360"/>
      </w:pPr>
      <w:rPr/>
    </w:lvl>
    <w:lvl w:ilvl="5">
      <w:start w:val="11"/>
      <w:numFmt w:val="decimal"/>
      <w:lvlText w:val="%6."/>
      <w:lvlJc w:val="left"/>
      <w:pPr>
        <w:ind w:left="4320" w:hanging="360"/>
      </w:pPr>
      <w:rPr/>
    </w:lvl>
    <w:lvl w:ilvl="6">
      <w:start w:val="11"/>
      <w:numFmt w:val="decimal"/>
      <w:lvlText w:val="%7."/>
      <w:lvlJc w:val="left"/>
      <w:pPr>
        <w:ind w:left="5040" w:hanging="360"/>
      </w:pPr>
      <w:rPr/>
    </w:lvl>
    <w:lvl w:ilvl="7">
      <w:start w:val="11"/>
      <w:numFmt w:val="decimal"/>
      <w:lvlText w:val="%8."/>
      <w:lvlJc w:val="left"/>
      <w:pPr>
        <w:ind w:left="5760" w:hanging="360"/>
      </w:pPr>
      <w:rPr/>
    </w:lvl>
    <w:lvl w:ilvl="8">
      <w:start w:val="11"/>
      <w:numFmt w:val="decimal"/>
      <w:lvlText w:val="%9."/>
      <w:lvlJc w:val="left"/>
      <w:pPr>
        <w:ind w:left="6480" w:hanging="360"/>
      </w:pPr>
      <w:rPr/>
    </w:lvl>
  </w:abstractNum>
  <w:abstractNum w:abstractNumId="21">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22">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23">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24">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25">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26">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8">
    <w:lvl w:ilvl="0">
      <w:start w:val="2"/>
      <w:numFmt w:val="decimal"/>
      <w:lvlText w:val="%1."/>
      <w:lvlJc w:val="left"/>
      <w:pPr>
        <w:ind w:left="720" w:hanging="360"/>
      </w:pPr>
      <w:rPr/>
    </w:lvl>
    <w:lvl w:ilvl="1">
      <w:start w:val="2"/>
      <w:numFmt w:val="decimal"/>
      <w:lvlText w:val="%2."/>
      <w:lvlJc w:val="left"/>
      <w:pPr>
        <w:ind w:left="1440" w:hanging="360"/>
      </w:pPr>
      <w:rPr/>
    </w:lvl>
    <w:lvl w:ilvl="2">
      <w:start w:val="2"/>
      <w:numFmt w:val="decimal"/>
      <w:lvlText w:val="%3."/>
      <w:lvlJc w:val="left"/>
      <w:pPr>
        <w:ind w:left="2160" w:hanging="360"/>
      </w:pPr>
      <w:rPr/>
    </w:lvl>
    <w:lvl w:ilvl="3">
      <w:start w:val="2"/>
      <w:numFmt w:val="decimal"/>
      <w:lvlText w:val="%4."/>
      <w:lvlJc w:val="left"/>
      <w:pPr>
        <w:ind w:left="2880" w:hanging="360"/>
      </w:pPr>
      <w:rPr/>
    </w:lvl>
    <w:lvl w:ilvl="4">
      <w:start w:val="2"/>
      <w:numFmt w:val="decimal"/>
      <w:lvlText w:val="%5."/>
      <w:lvlJc w:val="left"/>
      <w:pPr>
        <w:ind w:left="3600" w:hanging="360"/>
      </w:pPr>
      <w:rPr/>
    </w:lvl>
    <w:lvl w:ilvl="5">
      <w:start w:val="2"/>
      <w:numFmt w:val="decimal"/>
      <w:lvlText w:val="%6."/>
      <w:lvlJc w:val="left"/>
      <w:pPr>
        <w:ind w:left="4320" w:hanging="360"/>
      </w:pPr>
      <w:rPr/>
    </w:lvl>
    <w:lvl w:ilvl="6">
      <w:start w:val="2"/>
      <w:numFmt w:val="decimal"/>
      <w:lvlText w:val="%7."/>
      <w:lvlJc w:val="left"/>
      <w:pPr>
        <w:ind w:left="5040" w:hanging="360"/>
      </w:pPr>
      <w:rPr/>
    </w:lvl>
    <w:lvl w:ilvl="7">
      <w:start w:val="2"/>
      <w:numFmt w:val="decimal"/>
      <w:lvlText w:val="%8."/>
      <w:lvlJc w:val="left"/>
      <w:pPr>
        <w:ind w:left="5760" w:hanging="360"/>
      </w:pPr>
      <w:rPr/>
    </w:lvl>
    <w:lvl w:ilvl="8">
      <w:start w:val="2"/>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20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Rule="auto"/>
      <w:jc w:val="center"/>
    </w:pPr>
    <w:rPr>
      <w:rFonts w:ascii="Play" w:cs="Play" w:eastAsia="Play" w:hAnsi="Play"/>
      <w:sz w:val="56"/>
      <w:szCs w:val="56"/>
    </w:rPr>
  </w:style>
  <w:style w:type="paragraph" w:styleId="Nagwek7">
    <w:name w:val="heading 7"/>
    <w:basedOn w:val="Normalny"/>
    <w:next w:val="Tekstpodstawowy"/>
    <w:link w:val="Nagwek7Znak"/>
    <w:uiPriority w:val="9"/>
    <w:semiHidden w:val="1"/>
    <w:unhideWhenUsed w:val="1"/>
    <w:qFormat w:val="1"/>
    <w:rsid w:val="00A10FD9"/>
    <w:pPr>
      <w:keepNext w:val="1"/>
      <w:keepLines w:val="1"/>
      <w:spacing w:after="0" w:before="40"/>
      <w:outlineLvl w:val="6"/>
    </w:pPr>
    <w:rPr>
      <w:rFonts w:cstheme="majorBidi" w:eastAsiaTheme="majorEastAsia"/>
      <w:color w:val="595959" w:themeColor="text1" w:themeTint="0000A6"/>
    </w:rPr>
  </w:style>
  <w:style w:type="paragraph" w:styleId="Nagwek8">
    <w:name w:val="heading 8"/>
    <w:basedOn w:val="Normalny"/>
    <w:next w:val="Tekstpodstawowy"/>
    <w:link w:val="Nagwek8Znak"/>
    <w:uiPriority w:val="9"/>
    <w:semiHidden w:val="1"/>
    <w:unhideWhenUsed w:val="1"/>
    <w:qFormat w:val="1"/>
    <w:rsid w:val="00A10FD9"/>
    <w:pPr>
      <w:keepNext w:val="1"/>
      <w:keepLines w:val="1"/>
      <w:spacing w:after="0"/>
      <w:outlineLvl w:val="7"/>
    </w:pPr>
    <w:rPr>
      <w:rFonts w:cstheme="majorBidi" w:eastAsiaTheme="majorEastAsia"/>
      <w:i w:val="1"/>
      <w:iCs w:val="1"/>
      <w:color w:val="272727" w:themeColor="text1" w:themeTint="0000D8"/>
    </w:rPr>
  </w:style>
  <w:style w:type="paragraph" w:styleId="Nagwek9">
    <w:name w:val="heading 9"/>
    <w:basedOn w:val="Normalny"/>
    <w:next w:val="Tekstpodstawowy"/>
    <w:link w:val="Nagwek9Znak"/>
    <w:uiPriority w:val="9"/>
    <w:semiHidden w:val="1"/>
    <w:unhideWhenUsed w:val="1"/>
    <w:qFormat w:val="1"/>
    <w:rsid w:val="00A10FD9"/>
    <w:pPr>
      <w:keepNext w:val="1"/>
      <w:keepLines w:val="1"/>
      <w:spacing w:after="0"/>
      <w:outlineLvl w:val="8"/>
    </w:pPr>
    <w:rPr>
      <w:rFonts w:cstheme="majorBidi" w:eastAsiaTheme="majorEastAsia"/>
      <w:color w:val="272727" w:themeColor="text1" w:themeTint="0000D8"/>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paragraph" w:styleId="Tekstpodstawowy">
    <w:name w:val="Body Text"/>
    <w:basedOn w:val="Normalny"/>
    <w:qFormat w:val="1"/>
    <w:pPr>
      <w:spacing w:after="180" w:before="180"/>
    </w:pPr>
  </w:style>
  <w:style w:type="paragraph" w:styleId="FirstParagraph" w:customStyle="1">
    <w:name w:val="First Paragraph"/>
    <w:basedOn w:val="Tekstpodstawowy"/>
    <w:next w:val="Tekstpodstawowy"/>
    <w:qFormat w:val="1"/>
  </w:style>
  <w:style w:type="paragraph" w:styleId="Compact" w:customStyle="1">
    <w:name w:val="Compact"/>
    <w:basedOn w:val="Tekstpodstawowy"/>
    <w:qFormat w:val="1"/>
    <w:pPr>
      <w:spacing w:after="36" w:before="36"/>
    </w:pPr>
  </w:style>
  <w:style w:type="character" w:styleId="TytuZnak" w:customStyle="1">
    <w:name w:val="Tytuł Znak"/>
    <w:basedOn w:val="Domylnaczcionkaakapitu"/>
    <w:link w:val="Tytu"/>
    <w:uiPriority w:val="10"/>
    <w:rsid w:val="00A10FD9"/>
    <w:rPr>
      <w:rFonts w:asciiTheme="majorHAnsi" w:cstheme="majorBidi" w:eastAsiaTheme="majorEastAsia" w:hAnsiTheme="majorHAnsi"/>
      <w:spacing w:val="-10"/>
      <w:kern w:val="28"/>
      <w:sz w:val="56"/>
      <w:szCs w:val="56"/>
    </w:rPr>
  </w:style>
  <w:style w:type="character" w:styleId="PodtytuZnak" w:customStyle="1">
    <w:name w:val="Podtytuł Znak"/>
    <w:basedOn w:val="Domylnaczcionkaakapitu"/>
    <w:link w:val="Podtytu"/>
    <w:uiPriority w:val="11"/>
    <w:rsid w:val="00A10FD9"/>
    <w:rPr>
      <w:rFonts w:cstheme="majorBidi" w:eastAsiaTheme="majorEastAsia"/>
      <w:color w:val="595959" w:themeColor="text1" w:themeTint="0000A6"/>
      <w:spacing w:val="15"/>
      <w:sz w:val="28"/>
      <w:szCs w:val="28"/>
    </w:rPr>
  </w:style>
  <w:style w:type="paragraph" w:styleId="Author" w:customStyle="1">
    <w:name w:val="Author"/>
    <w:next w:val="Tekstpodstawowy"/>
    <w:qFormat w:val="1"/>
    <w:pPr>
      <w:keepNext w:val="1"/>
      <w:keepLines w:val="1"/>
      <w:jc w:val="center"/>
    </w:pPr>
  </w:style>
  <w:style w:type="paragraph" w:styleId="Data">
    <w:name w:val="Date"/>
    <w:next w:val="Tekstpodstawowy"/>
    <w:qFormat w:val="1"/>
    <w:pPr>
      <w:keepNext w:val="1"/>
      <w:keepLines w:val="1"/>
      <w:jc w:val="center"/>
    </w:pPr>
  </w:style>
  <w:style w:type="paragraph" w:styleId="AbstractTitle" w:customStyle="1">
    <w:name w:val="Abstract Title"/>
    <w:basedOn w:val="Normalny"/>
    <w:next w:val="Abstract"/>
    <w:qFormat w:val="1"/>
    <w:pPr>
      <w:keepNext w:val="1"/>
      <w:keepLines w:val="1"/>
      <w:spacing w:after="0" w:before="300"/>
      <w:jc w:val="center"/>
    </w:pPr>
    <w:rPr>
      <w:b w:val="1"/>
      <w:sz w:val="20"/>
      <w:szCs w:val="20"/>
    </w:rPr>
  </w:style>
  <w:style w:type="paragraph" w:styleId="Abstract" w:customStyle="1">
    <w:name w:val="Abstract"/>
    <w:basedOn w:val="Normalny"/>
    <w:next w:val="Tekstpodstawowy"/>
    <w:qFormat w:val="1"/>
    <w:pPr>
      <w:keepNext w:val="1"/>
      <w:keepLines w:val="1"/>
      <w:spacing w:after="300" w:before="100"/>
    </w:pPr>
    <w:rPr>
      <w:sz w:val="20"/>
      <w:szCs w:val="20"/>
    </w:rPr>
  </w:style>
  <w:style w:type="paragraph" w:styleId="Bibliografia">
    <w:name w:val="Bibliography"/>
    <w:basedOn w:val="Normalny"/>
    <w:qFormat w:val="1"/>
  </w:style>
  <w:style w:type="character" w:styleId="Nagwek1Znak" w:customStyle="1">
    <w:name w:val="Nagłówek 1 Znak"/>
    <w:basedOn w:val="Domylnaczcionkaakapitu"/>
    <w:link w:val="Nagwek1"/>
    <w:uiPriority w:val="9"/>
    <w:rsid w:val="00A10FD9"/>
    <w:rPr>
      <w:rFonts w:asciiTheme="majorHAnsi" w:cstheme="majorBidi" w:eastAsiaTheme="majorEastAsia" w:hAnsiTheme="majorHAnsi"/>
      <w:color w:val="0f4761" w:themeColor="accent1" w:themeShade="0000BF"/>
      <w:sz w:val="40"/>
      <w:szCs w:val="40"/>
    </w:rPr>
  </w:style>
  <w:style w:type="character" w:styleId="Nagwek2Znak" w:customStyle="1">
    <w:name w:val="Nagłówek 2 Znak"/>
    <w:basedOn w:val="Domylnaczcionkaakapitu"/>
    <w:link w:val="Nagwek2"/>
    <w:uiPriority w:val="9"/>
    <w:semiHidden w:val="1"/>
    <w:rsid w:val="00A10FD9"/>
    <w:rPr>
      <w:rFonts w:asciiTheme="majorHAnsi" w:cstheme="majorBidi" w:eastAsiaTheme="majorEastAsia" w:hAnsiTheme="majorHAnsi"/>
      <w:color w:val="0f4761" w:themeColor="accent1" w:themeShade="0000BF"/>
      <w:sz w:val="32"/>
      <w:szCs w:val="32"/>
    </w:rPr>
  </w:style>
  <w:style w:type="character" w:styleId="Nagwek3Znak" w:customStyle="1">
    <w:name w:val="Nagłówek 3 Znak"/>
    <w:basedOn w:val="Domylnaczcionkaakapitu"/>
    <w:link w:val="Nagwek3"/>
    <w:uiPriority w:val="9"/>
    <w:semiHidden w:val="1"/>
    <w:rsid w:val="00A10FD9"/>
    <w:rPr>
      <w:rFonts w:cstheme="majorBidi" w:eastAsiaTheme="majorEastAsia"/>
      <w:color w:val="0f4761" w:themeColor="accent1" w:themeShade="0000BF"/>
      <w:sz w:val="28"/>
      <w:szCs w:val="28"/>
    </w:rPr>
  </w:style>
  <w:style w:type="character" w:styleId="Nagwek4Znak" w:customStyle="1">
    <w:name w:val="Nagłówek 4 Znak"/>
    <w:basedOn w:val="Domylnaczcionkaakapitu"/>
    <w:link w:val="Nagwek4"/>
    <w:uiPriority w:val="9"/>
    <w:semiHidden w:val="1"/>
    <w:rsid w:val="00A10FD9"/>
    <w:rPr>
      <w:rFonts w:cstheme="majorBidi" w:eastAsiaTheme="majorEastAsia"/>
      <w:i w:val="1"/>
      <w:iCs w:val="1"/>
      <w:color w:val="0f4761" w:themeColor="accent1" w:themeShade="0000BF"/>
    </w:rPr>
  </w:style>
  <w:style w:type="character" w:styleId="Nagwek5Znak" w:customStyle="1">
    <w:name w:val="Nagłówek 5 Znak"/>
    <w:basedOn w:val="Domylnaczcionkaakapitu"/>
    <w:link w:val="Nagwek5"/>
    <w:uiPriority w:val="9"/>
    <w:semiHidden w:val="1"/>
    <w:rsid w:val="00A10FD9"/>
    <w:rPr>
      <w:rFonts w:cstheme="majorBidi" w:eastAsiaTheme="majorEastAsia"/>
      <w:color w:val="0f4761" w:themeColor="accent1" w:themeShade="0000BF"/>
    </w:rPr>
  </w:style>
  <w:style w:type="character" w:styleId="Nagwek6Znak" w:customStyle="1">
    <w:name w:val="Nagłówek 6 Znak"/>
    <w:basedOn w:val="Domylnaczcionkaakapitu"/>
    <w:link w:val="Nagwek6"/>
    <w:uiPriority w:val="9"/>
    <w:semiHidden w:val="1"/>
    <w:rsid w:val="00A10FD9"/>
    <w:rPr>
      <w:rFonts w:cstheme="majorBidi" w:eastAsiaTheme="majorEastAsia"/>
      <w:i w:val="1"/>
      <w:iCs w:val="1"/>
      <w:color w:val="595959" w:themeColor="text1" w:themeTint="0000A6"/>
    </w:rPr>
  </w:style>
  <w:style w:type="character" w:styleId="Nagwek7Znak" w:customStyle="1">
    <w:name w:val="Nagłówek 7 Znak"/>
    <w:basedOn w:val="Domylnaczcionkaakapitu"/>
    <w:link w:val="Nagwek7"/>
    <w:uiPriority w:val="9"/>
    <w:semiHidden w:val="1"/>
    <w:rsid w:val="00A10FD9"/>
    <w:rPr>
      <w:rFonts w:cstheme="majorBidi" w:eastAsiaTheme="majorEastAsia"/>
      <w:color w:val="595959" w:themeColor="text1" w:themeTint="0000A6"/>
    </w:rPr>
  </w:style>
  <w:style w:type="character" w:styleId="Nagwek8Znak" w:customStyle="1">
    <w:name w:val="Nagłówek 8 Znak"/>
    <w:basedOn w:val="Domylnaczcionkaakapitu"/>
    <w:link w:val="Nagwek8"/>
    <w:uiPriority w:val="9"/>
    <w:semiHidden w:val="1"/>
    <w:rsid w:val="00A10FD9"/>
    <w:rPr>
      <w:rFonts w:cstheme="majorBidi" w:eastAsiaTheme="majorEastAsia"/>
      <w:i w:val="1"/>
      <w:iCs w:val="1"/>
      <w:color w:val="272727" w:themeColor="text1" w:themeTint="0000D8"/>
    </w:rPr>
  </w:style>
  <w:style w:type="character" w:styleId="Nagwek9Znak" w:customStyle="1">
    <w:name w:val="Nagłówek 9 Znak"/>
    <w:basedOn w:val="Domylnaczcionkaakapitu"/>
    <w:link w:val="Nagwek9"/>
    <w:uiPriority w:val="9"/>
    <w:semiHidden w:val="1"/>
    <w:rsid w:val="00A10FD9"/>
    <w:rPr>
      <w:rFonts w:cstheme="majorBidi" w:eastAsiaTheme="majorEastAsia"/>
      <w:color w:val="272727" w:themeColor="text1" w:themeTint="0000D8"/>
    </w:rPr>
  </w:style>
  <w:style w:type="paragraph" w:styleId="Tekstblokowy">
    <w:name w:val="Block Text"/>
    <w:basedOn w:val="Tekstpodstawowy"/>
    <w:next w:val="Tekstpodstawowy"/>
    <w:uiPriority w:val="9"/>
    <w:unhideWhenUsed w:val="1"/>
    <w:qFormat w:val="1"/>
    <w:pPr>
      <w:spacing w:after="100" w:before="100"/>
      <w:ind w:left="480" w:right="480"/>
    </w:pPr>
  </w:style>
  <w:style w:type="paragraph" w:styleId="Tekstprzypisudolnego">
    <w:name w:val="footnote text"/>
    <w:basedOn w:val="Normalny"/>
    <w:uiPriority w:val="9"/>
    <w:unhideWhenUsed w:val="1"/>
    <w:qFormat w:val="1"/>
  </w:style>
  <w:style w:type="paragraph" w:styleId="FootnoteBlockText" w:customStyle="1">
    <w:name w:val="Footnote Block Text"/>
    <w:basedOn w:val="Tekstprzypisudolnego"/>
    <w:next w:val="Tekstprzypisudolnego"/>
    <w:uiPriority w:val="9"/>
    <w:unhideWhenUsed w:val="1"/>
    <w:qFormat w:val="1"/>
    <w:pPr>
      <w:spacing w:after="100" w:before="100"/>
      <w:ind w:left="480" w:right="480"/>
    </w:pPr>
  </w:style>
  <w:style w:type="table" w:styleId="Table" w:customStyle="1">
    <w:name w:val="Table"/>
    <w:semiHidden w:val="1"/>
    <w:unhideWhenUsed w:val="1"/>
    <w:qFormat w:val="1"/>
    <w:tblPr>
      <w:tblInd w:w="0.0" w:type="dxa"/>
      <w:tblCellMar>
        <w:top w:w="0.0" w:type="dxa"/>
        <w:left w:w="108.0" w:type="dxa"/>
        <w:bottom w:w="0.0" w:type="dxa"/>
        <w:right w:w="108.0" w:type="dxa"/>
      </w:tblCellMar>
    </w:tblPr>
    <w:tblStylePr w:type="firstRow">
      <w:tblPr>
        <w:jc w:val="left"/>
      </w:tblPr>
      <w:trPr>
        <w:jc w:val="left"/>
      </w:trPr>
      <w:tcPr>
        <w:tcBorders>
          <w:bottom w:color="auto" w:space="0" w:sz="0" w:val="single"/>
        </w:tcBorders>
        <w:vAlign w:val="bottom"/>
      </w:tcPr>
    </w:tblStylePr>
  </w:style>
  <w:style w:type="paragraph" w:styleId="DefinitionTerm" w:customStyle="1">
    <w:name w:val="Definition Term"/>
    <w:basedOn w:val="Normalny"/>
    <w:next w:val="Definition"/>
    <w:pPr>
      <w:keepNext w:val="1"/>
      <w:keepLines w:val="1"/>
      <w:spacing w:after="0"/>
    </w:pPr>
    <w:rPr>
      <w:b w:val="1"/>
    </w:rPr>
  </w:style>
  <w:style w:type="paragraph" w:styleId="Definition" w:customStyle="1">
    <w:name w:val="Definition"/>
    <w:basedOn w:val="Normalny"/>
  </w:style>
  <w:style w:type="paragraph" w:styleId="Legenda">
    <w:name w:val="caption"/>
    <w:basedOn w:val="Normalny"/>
    <w:link w:val="LegendaZnak"/>
    <w:pPr>
      <w:spacing w:after="120"/>
    </w:pPr>
    <w:rPr>
      <w:i w:val="1"/>
    </w:rPr>
  </w:style>
  <w:style w:type="paragraph" w:styleId="TableCaption" w:customStyle="1">
    <w:name w:val="Table Caption"/>
    <w:basedOn w:val="Legenda"/>
    <w:pPr>
      <w:keepNext w:val="1"/>
    </w:pPr>
  </w:style>
  <w:style w:type="paragraph" w:styleId="ImageCaption" w:customStyle="1">
    <w:name w:val="Image Caption"/>
    <w:basedOn w:val="Legenda"/>
  </w:style>
  <w:style w:type="paragraph" w:styleId="Figure" w:customStyle="1">
    <w:name w:val="Figure"/>
    <w:basedOn w:val="Normalny"/>
  </w:style>
  <w:style w:type="paragraph" w:styleId="CaptionedFigure" w:customStyle="1">
    <w:name w:val="Captioned Figure"/>
    <w:basedOn w:val="Figure"/>
    <w:pPr>
      <w:keepNext w:val="1"/>
    </w:pPr>
  </w:style>
  <w:style w:type="character" w:styleId="LegendaZnak" w:customStyle="1">
    <w:name w:val="Legenda Znak"/>
    <w:basedOn w:val="Domylnaczcionkaakapitu"/>
    <w:link w:val="Legenda"/>
  </w:style>
  <w:style w:type="character" w:styleId="VerbatimChar" w:customStyle="1">
    <w:name w:val="Verbatim Char"/>
    <w:basedOn w:val="LegendaZnak"/>
    <w:link w:val="SourceCode"/>
    <w:rPr>
      <w:rFonts w:ascii="Consolas" w:hAnsi="Consolas"/>
      <w:sz w:val="22"/>
    </w:rPr>
  </w:style>
  <w:style w:type="character" w:styleId="SectionNumber" w:customStyle="1">
    <w:name w:val="Section Number"/>
    <w:basedOn w:val="LegendaZnak"/>
  </w:style>
  <w:style w:type="character" w:styleId="Odwoanieprzypisudolnego">
    <w:name w:val="footnote reference"/>
    <w:basedOn w:val="LegendaZnak"/>
    <w:rPr>
      <w:vertAlign w:val="superscript"/>
    </w:rPr>
  </w:style>
  <w:style w:type="character" w:styleId="Hipercze">
    <w:name w:val="Hyperlink"/>
    <w:basedOn w:val="LegendaZnak"/>
    <w:uiPriority w:val="99"/>
    <w:rPr>
      <w:color w:val="156082" w:themeColor="accent1"/>
    </w:rPr>
  </w:style>
  <w:style w:type="paragraph" w:styleId="Nagwekspisutreci">
    <w:name w:val="TOC Heading"/>
    <w:basedOn w:val="Nagwek1"/>
    <w:next w:val="Tekstpodstawowy"/>
    <w:uiPriority w:val="39"/>
    <w:unhideWhenUsed w:val="1"/>
    <w:qFormat w:val="1"/>
    <w:pPr>
      <w:spacing w:before="240" w:line="259" w:lineRule="auto"/>
      <w:outlineLvl w:val="9"/>
    </w:pPr>
  </w:style>
  <w:style w:type="paragraph" w:styleId="SourceCode" w:customStyle="1">
    <w:name w:val="Source Code"/>
    <w:basedOn w:val="Normalny"/>
    <w:link w:val="VerbatimChar"/>
    <w:pPr>
      <w:shd w:color="auto" w:fill="f1f3f5" w:val="clear"/>
      <w:wordWrap w:val="0"/>
    </w:pPr>
  </w:style>
  <w:style w:type="character" w:styleId="KeywordTok" w:customStyle="1">
    <w:name w:val="KeywordTok"/>
    <w:basedOn w:val="VerbatimChar"/>
    <w:rPr>
      <w:rFonts w:ascii="Consolas" w:hAnsi="Consolas"/>
      <w:b w:val="1"/>
      <w:color w:val="003b4f"/>
      <w:sz w:val="22"/>
      <w:shd w:color="auto" w:fill="f1f3f5" w:val="clear"/>
    </w:rPr>
  </w:style>
  <w:style w:type="character" w:styleId="DataTypeTok" w:customStyle="1">
    <w:name w:val="DataTypeTok"/>
    <w:basedOn w:val="VerbatimChar"/>
    <w:rPr>
      <w:rFonts w:ascii="Consolas" w:hAnsi="Consolas"/>
      <w:color w:val="ad0000"/>
      <w:sz w:val="22"/>
      <w:shd w:color="auto" w:fill="f1f3f5" w:val="clear"/>
    </w:rPr>
  </w:style>
  <w:style w:type="character" w:styleId="DecValTok" w:customStyle="1">
    <w:name w:val="DecValTok"/>
    <w:basedOn w:val="VerbatimChar"/>
    <w:rPr>
      <w:rFonts w:ascii="Consolas" w:hAnsi="Consolas"/>
      <w:color w:val="ad0000"/>
      <w:sz w:val="22"/>
      <w:shd w:color="auto" w:fill="f1f3f5" w:val="clear"/>
    </w:rPr>
  </w:style>
  <w:style w:type="character" w:styleId="BaseNTok" w:customStyle="1">
    <w:name w:val="BaseNTok"/>
    <w:basedOn w:val="VerbatimChar"/>
    <w:rPr>
      <w:rFonts w:ascii="Consolas" w:hAnsi="Consolas"/>
      <w:color w:val="ad0000"/>
      <w:sz w:val="22"/>
      <w:shd w:color="auto" w:fill="f1f3f5" w:val="clear"/>
    </w:rPr>
  </w:style>
  <w:style w:type="character" w:styleId="FloatTok" w:customStyle="1">
    <w:name w:val="FloatTok"/>
    <w:basedOn w:val="VerbatimChar"/>
    <w:rPr>
      <w:rFonts w:ascii="Consolas" w:hAnsi="Consolas"/>
      <w:color w:val="ad0000"/>
      <w:sz w:val="22"/>
      <w:shd w:color="auto" w:fill="f1f3f5" w:val="clear"/>
    </w:rPr>
  </w:style>
  <w:style w:type="character" w:styleId="ConstantTok" w:customStyle="1">
    <w:name w:val="ConstantTok"/>
    <w:basedOn w:val="VerbatimChar"/>
    <w:rPr>
      <w:rFonts w:ascii="Consolas" w:hAnsi="Consolas"/>
      <w:color w:val="8f5902"/>
      <w:sz w:val="22"/>
      <w:shd w:color="auto" w:fill="f1f3f5" w:val="clear"/>
    </w:rPr>
  </w:style>
  <w:style w:type="character" w:styleId="CharTok" w:customStyle="1">
    <w:name w:val="CharTok"/>
    <w:basedOn w:val="VerbatimChar"/>
    <w:rPr>
      <w:rFonts w:ascii="Consolas" w:hAnsi="Consolas"/>
      <w:color w:val="20794d"/>
      <w:sz w:val="22"/>
      <w:shd w:color="auto" w:fill="f1f3f5" w:val="clear"/>
    </w:rPr>
  </w:style>
  <w:style w:type="character" w:styleId="SpecialCharTok" w:customStyle="1">
    <w:name w:val="SpecialCharTok"/>
    <w:basedOn w:val="VerbatimChar"/>
    <w:rPr>
      <w:rFonts w:ascii="Consolas" w:hAnsi="Consolas"/>
      <w:color w:val="5e5e5e"/>
      <w:sz w:val="22"/>
      <w:shd w:color="auto" w:fill="f1f3f5" w:val="clear"/>
    </w:rPr>
  </w:style>
  <w:style w:type="character" w:styleId="StringTok" w:customStyle="1">
    <w:name w:val="StringTok"/>
    <w:basedOn w:val="VerbatimChar"/>
    <w:rPr>
      <w:rFonts w:ascii="Consolas" w:hAnsi="Consolas"/>
      <w:color w:val="20794d"/>
      <w:sz w:val="22"/>
      <w:shd w:color="auto" w:fill="f1f3f5" w:val="clear"/>
    </w:rPr>
  </w:style>
  <w:style w:type="character" w:styleId="VerbatimStringTok" w:customStyle="1">
    <w:name w:val="VerbatimStringTok"/>
    <w:basedOn w:val="VerbatimChar"/>
    <w:rPr>
      <w:rFonts w:ascii="Consolas" w:hAnsi="Consolas"/>
      <w:color w:val="20794d"/>
      <w:sz w:val="22"/>
      <w:shd w:color="auto" w:fill="f1f3f5" w:val="clear"/>
    </w:rPr>
  </w:style>
  <w:style w:type="character" w:styleId="SpecialStringTok" w:customStyle="1">
    <w:name w:val="SpecialStringTok"/>
    <w:basedOn w:val="VerbatimChar"/>
    <w:rPr>
      <w:rFonts w:ascii="Consolas" w:hAnsi="Consolas"/>
      <w:color w:val="20794d"/>
      <w:sz w:val="22"/>
      <w:shd w:color="auto" w:fill="f1f3f5" w:val="clear"/>
    </w:rPr>
  </w:style>
  <w:style w:type="character" w:styleId="ImportTok" w:customStyle="1">
    <w:name w:val="ImportTok"/>
    <w:basedOn w:val="VerbatimChar"/>
    <w:rPr>
      <w:rFonts w:ascii="Consolas" w:hAnsi="Consolas"/>
      <w:color w:val="00769e"/>
      <w:sz w:val="22"/>
      <w:shd w:color="auto" w:fill="f1f3f5" w:val="clear"/>
    </w:rPr>
  </w:style>
  <w:style w:type="character" w:styleId="CommentTok" w:customStyle="1">
    <w:name w:val="CommentTok"/>
    <w:basedOn w:val="VerbatimChar"/>
    <w:rPr>
      <w:rFonts w:ascii="Consolas" w:hAnsi="Consolas"/>
      <w:color w:val="5e5e5e"/>
      <w:sz w:val="22"/>
      <w:shd w:color="auto" w:fill="f1f3f5" w:val="clear"/>
    </w:rPr>
  </w:style>
  <w:style w:type="character" w:styleId="DocumentationTok" w:customStyle="1">
    <w:name w:val="DocumentationTok"/>
    <w:basedOn w:val="VerbatimChar"/>
    <w:rPr>
      <w:rFonts w:ascii="Consolas" w:hAnsi="Consolas"/>
      <w:i w:val="1"/>
      <w:color w:val="5e5e5e"/>
      <w:sz w:val="22"/>
      <w:shd w:color="auto" w:fill="f1f3f5" w:val="clear"/>
    </w:rPr>
  </w:style>
  <w:style w:type="character" w:styleId="AnnotationTok" w:customStyle="1">
    <w:name w:val="AnnotationTok"/>
    <w:basedOn w:val="VerbatimChar"/>
    <w:rPr>
      <w:rFonts w:ascii="Consolas" w:hAnsi="Consolas"/>
      <w:color w:val="5e5e5e"/>
      <w:sz w:val="22"/>
      <w:shd w:color="auto" w:fill="f1f3f5" w:val="clear"/>
    </w:rPr>
  </w:style>
  <w:style w:type="character" w:styleId="CommentVarTok" w:customStyle="1">
    <w:name w:val="CommentVarTok"/>
    <w:basedOn w:val="VerbatimChar"/>
    <w:rPr>
      <w:rFonts w:ascii="Consolas" w:hAnsi="Consolas"/>
      <w:i w:val="1"/>
      <w:color w:val="5e5e5e"/>
      <w:sz w:val="22"/>
      <w:shd w:color="auto" w:fill="f1f3f5" w:val="clear"/>
    </w:rPr>
  </w:style>
  <w:style w:type="character" w:styleId="OtherTok" w:customStyle="1">
    <w:name w:val="OtherTok"/>
    <w:basedOn w:val="VerbatimChar"/>
    <w:rPr>
      <w:rFonts w:ascii="Consolas" w:hAnsi="Consolas"/>
      <w:color w:val="003b4f"/>
      <w:sz w:val="22"/>
      <w:shd w:color="auto" w:fill="f1f3f5" w:val="clear"/>
    </w:rPr>
  </w:style>
  <w:style w:type="character" w:styleId="FunctionTok" w:customStyle="1">
    <w:name w:val="FunctionTok"/>
    <w:basedOn w:val="VerbatimChar"/>
    <w:rPr>
      <w:rFonts w:ascii="Consolas" w:hAnsi="Consolas"/>
      <w:color w:val="4758ab"/>
      <w:sz w:val="22"/>
      <w:shd w:color="auto" w:fill="f1f3f5" w:val="clear"/>
    </w:rPr>
  </w:style>
  <w:style w:type="character" w:styleId="VariableTok" w:customStyle="1">
    <w:name w:val="VariableTok"/>
    <w:basedOn w:val="VerbatimChar"/>
    <w:rPr>
      <w:rFonts w:ascii="Consolas" w:hAnsi="Consolas"/>
      <w:color w:val="111111"/>
      <w:sz w:val="22"/>
      <w:shd w:color="auto" w:fill="f1f3f5" w:val="clear"/>
    </w:rPr>
  </w:style>
  <w:style w:type="character" w:styleId="ControlFlowTok" w:customStyle="1">
    <w:name w:val="ControlFlowTok"/>
    <w:basedOn w:val="VerbatimChar"/>
    <w:rPr>
      <w:rFonts w:ascii="Consolas" w:hAnsi="Consolas"/>
      <w:b w:val="1"/>
      <w:color w:val="003b4f"/>
      <w:sz w:val="22"/>
      <w:shd w:color="auto" w:fill="f1f3f5" w:val="clear"/>
    </w:rPr>
  </w:style>
  <w:style w:type="character" w:styleId="OperatorTok" w:customStyle="1">
    <w:name w:val="OperatorTok"/>
    <w:basedOn w:val="VerbatimChar"/>
    <w:rPr>
      <w:rFonts w:ascii="Consolas" w:hAnsi="Consolas"/>
      <w:color w:val="5e5e5e"/>
      <w:sz w:val="22"/>
      <w:shd w:color="auto" w:fill="f1f3f5" w:val="clear"/>
    </w:rPr>
  </w:style>
  <w:style w:type="character" w:styleId="BuiltInTok" w:customStyle="1">
    <w:name w:val="BuiltInTok"/>
    <w:basedOn w:val="VerbatimChar"/>
    <w:rPr>
      <w:rFonts w:ascii="Consolas" w:hAnsi="Consolas"/>
      <w:color w:val="003b4f"/>
      <w:sz w:val="22"/>
      <w:shd w:color="auto" w:fill="f1f3f5" w:val="clear"/>
    </w:rPr>
  </w:style>
  <w:style w:type="character" w:styleId="ExtensionTok" w:customStyle="1">
    <w:name w:val="ExtensionTok"/>
    <w:basedOn w:val="VerbatimChar"/>
    <w:rPr>
      <w:rFonts w:ascii="Consolas" w:hAnsi="Consolas"/>
      <w:color w:val="003b4f"/>
      <w:sz w:val="22"/>
      <w:shd w:color="auto" w:fill="f1f3f5" w:val="clear"/>
    </w:rPr>
  </w:style>
  <w:style w:type="character" w:styleId="PreprocessorTok" w:customStyle="1">
    <w:name w:val="PreprocessorTok"/>
    <w:basedOn w:val="VerbatimChar"/>
    <w:rPr>
      <w:rFonts w:ascii="Consolas" w:hAnsi="Consolas"/>
      <w:color w:val="ad0000"/>
      <w:sz w:val="22"/>
      <w:shd w:color="auto" w:fill="f1f3f5" w:val="clear"/>
    </w:rPr>
  </w:style>
  <w:style w:type="character" w:styleId="AttributeTok" w:customStyle="1">
    <w:name w:val="AttributeTok"/>
    <w:basedOn w:val="VerbatimChar"/>
    <w:rPr>
      <w:rFonts w:ascii="Consolas" w:hAnsi="Consolas"/>
      <w:color w:val="657422"/>
      <w:sz w:val="22"/>
      <w:shd w:color="auto" w:fill="f1f3f5" w:val="clear"/>
    </w:rPr>
  </w:style>
  <w:style w:type="character" w:styleId="RegionMarkerTok" w:customStyle="1">
    <w:name w:val="RegionMarkerTok"/>
    <w:basedOn w:val="VerbatimChar"/>
    <w:rPr>
      <w:rFonts w:ascii="Consolas" w:hAnsi="Consolas"/>
      <w:color w:val="003b4f"/>
      <w:sz w:val="22"/>
      <w:shd w:color="auto" w:fill="f1f3f5" w:val="clear"/>
    </w:rPr>
  </w:style>
  <w:style w:type="character" w:styleId="InformationTok" w:customStyle="1">
    <w:name w:val="InformationTok"/>
    <w:basedOn w:val="VerbatimChar"/>
    <w:rPr>
      <w:rFonts w:ascii="Consolas" w:hAnsi="Consolas"/>
      <w:color w:val="5e5e5e"/>
      <w:sz w:val="22"/>
      <w:shd w:color="auto" w:fill="f1f3f5" w:val="clear"/>
    </w:rPr>
  </w:style>
  <w:style w:type="character" w:styleId="WarningTok" w:customStyle="1">
    <w:name w:val="WarningTok"/>
    <w:basedOn w:val="VerbatimChar"/>
    <w:rPr>
      <w:rFonts w:ascii="Consolas" w:hAnsi="Consolas"/>
      <w:i w:val="1"/>
      <w:color w:val="5e5e5e"/>
      <w:sz w:val="22"/>
      <w:shd w:color="auto" w:fill="f1f3f5" w:val="clear"/>
    </w:rPr>
  </w:style>
  <w:style w:type="character" w:styleId="AlertTok" w:customStyle="1">
    <w:name w:val="AlertTok"/>
    <w:basedOn w:val="VerbatimChar"/>
    <w:rPr>
      <w:rFonts w:ascii="Consolas" w:hAnsi="Consolas"/>
      <w:color w:val="ad0000"/>
      <w:sz w:val="22"/>
      <w:shd w:color="auto" w:fill="f1f3f5" w:val="clear"/>
    </w:rPr>
  </w:style>
  <w:style w:type="character" w:styleId="ErrorTok" w:customStyle="1">
    <w:name w:val="ErrorTok"/>
    <w:basedOn w:val="VerbatimChar"/>
    <w:rPr>
      <w:rFonts w:ascii="Consolas" w:hAnsi="Consolas"/>
      <w:color w:val="ad0000"/>
      <w:sz w:val="22"/>
      <w:shd w:color="auto" w:fill="f1f3f5" w:val="clear"/>
    </w:rPr>
  </w:style>
  <w:style w:type="character" w:styleId="NormalTok" w:customStyle="1">
    <w:name w:val="NormalTok"/>
    <w:basedOn w:val="VerbatimChar"/>
    <w:rPr>
      <w:rFonts w:ascii="Consolas" w:hAnsi="Consolas"/>
      <w:color w:val="003b4f"/>
      <w:sz w:val="22"/>
      <w:shd w:color="auto" w:fill="f1f3f5" w:val="clear"/>
    </w:rPr>
  </w:style>
  <w:style w:type="paragraph" w:styleId="Spistreci2">
    <w:name w:val="toc 2"/>
    <w:basedOn w:val="Normalny"/>
    <w:next w:val="Normalny"/>
    <w:autoRedefine w:val="1"/>
    <w:uiPriority w:val="39"/>
    <w:unhideWhenUsed w:val="1"/>
    <w:rsid w:val="009D6755"/>
    <w:pPr>
      <w:spacing w:after="100"/>
      <w:ind w:left="240"/>
    </w:pPr>
  </w:style>
  <w:style w:type="paragraph" w:styleId="Spistreci3">
    <w:name w:val="toc 3"/>
    <w:basedOn w:val="Normalny"/>
    <w:next w:val="Normalny"/>
    <w:autoRedefine w:val="1"/>
    <w:uiPriority w:val="39"/>
    <w:unhideWhenUsed w:val="1"/>
    <w:rsid w:val="009D6755"/>
    <w:pPr>
      <w:spacing w:after="100"/>
      <w:ind w:left="480"/>
    </w:pPr>
  </w:style>
  <w:style w:type="paragraph" w:styleId="Spistreci4">
    <w:name w:val="toc 4"/>
    <w:basedOn w:val="Normalny"/>
    <w:next w:val="Normalny"/>
    <w:autoRedefine w:val="1"/>
    <w:uiPriority w:val="39"/>
    <w:unhideWhenUsed w:val="1"/>
    <w:rsid w:val="009D6755"/>
    <w:pPr>
      <w:spacing w:after="100"/>
      <w:ind w:left="720"/>
    </w:pPr>
  </w:style>
  <w:style w:type="paragraph" w:styleId="Subtitle">
    <w:name w:val="Subtitle"/>
    <w:basedOn w:val="Normal"/>
    <w:next w:val="Normal"/>
    <w:pPr>
      <w:spacing w:after="80" w:lineRule="auto"/>
      <w:jc w:val="center"/>
    </w:pPr>
    <w:rPr>
      <w:rFonts w:ascii="Play" w:cs="Play" w:eastAsia="Play" w:hAnsi="Play"/>
      <w:sz w:val="28"/>
      <w:szCs w:val="28"/>
    </w:rPr>
  </w:style>
  <w:style w:type="table" w:styleId="Table1">
    <w:basedOn w:val="TableNormal"/>
    <w:tblPr>
      <w:tblStyleRowBandSize w:val="1"/>
      <w:tblStyleColBandSize w:val="1"/>
      <w:tblCellMar>
        <w:top w:w="0.0" w:type="dxa"/>
        <w:left w:w="144.0" w:type="dxa"/>
        <w:bottom w:w="0.0" w:type="dxa"/>
        <w:right w:w="144.0" w:type="dxa"/>
      </w:tblCellMar>
    </w:tblPr>
    <w:tblStylePr w:type="firstRow">
      <w:tcPr>
        <w:tcBorders>
          <w:bottom w:color="000000" w:space="0" w:sz="0" w:val="nil"/>
        </w:tcBorders>
        <w:vAlign w:val="bottom"/>
      </w:tcPr>
    </w:tblStylePr>
  </w:style>
  <w:style w:type="table" w:styleId="Table2">
    <w:basedOn w:val="TableNormal"/>
    <w:tblPr>
      <w:tblStyleRowBandSize w:val="1"/>
      <w:tblStyleColBandSize w:val="1"/>
      <w:tblCellMar>
        <w:top w:w="0.0" w:type="dxa"/>
        <w:left w:w="144.0" w:type="dxa"/>
        <w:bottom w:w="0.0" w:type="dxa"/>
        <w:right w:w="144.0" w:type="dxa"/>
      </w:tblCellMar>
    </w:tblPr>
    <w:tblStylePr w:type="firstRow">
      <w:tcPr>
        <w:tcBorders>
          <w:bottom w:color="000000" w:space="0" w:sz="0" w:val="nil"/>
        </w:tcBorders>
        <w:vAlign w:val="bottom"/>
      </w:tcPr>
    </w:tblStylePr>
  </w:style>
  <w:style w:type="table" w:styleId="Table3">
    <w:basedOn w:val="TableNormal"/>
    <w:tblPr>
      <w:tblStyleRowBandSize w:val="1"/>
      <w:tblStyleColBandSize w:val="1"/>
      <w:tblCellMar>
        <w:top w:w="0.0" w:type="dxa"/>
        <w:left w:w="108.0" w:type="dxa"/>
        <w:bottom w:w="0.0" w:type="dxa"/>
        <w:right w:w="108.0" w:type="dxa"/>
      </w:tblCellMar>
    </w:tblPr>
    <w:tblStylePr w:type="firstRow">
      <w:tcPr>
        <w:tcBorders>
          <w:bottom w:color="000000" w:space="0" w:sz="0" w:val="nil"/>
        </w:tcBorders>
        <w:vAlign w:val="bottom"/>
      </w:tcPr>
    </w:tblStylePr>
  </w:style>
  <w:style w:type="table" w:styleId="Table4">
    <w:basedOn w:val="TableNormal"/>
    <w:tblPr>
      <w:tblStyleRowBandSize w:val="1"/>
      <w:tblStyleColBandSize w:val="1"/>
      <w:tblCellMar>
        <w:top w:w="0.0" w:type="dxa"/>
        <w:left w:w="144.0" w:type="dxa"/>
        <w:bottom w:w="0.0" w:type="dxa"/>
        <w:right w:w="144.0" w:type="dxa"/>
      </w:tblCellMar>
    </w:tblPr>
    <w:tblStylePr w:type="firstRow">
      <w:tcPr>
        <w:tcBorders>
          <w:bottom w:color="000000" w:space="0" w:sz="0" w:val="nil"/>
        </w:tcBorders>
        <w:vAlign w:val="bottom"/>
      </w:tcPr>
    </w:tblStylePr>
  </w:style>
  <w:style w:type="table" w:styleId="Table5">
    <w:basedOn w:val="TableNormal"/>
    <w:tblPr>
      <w:tblStyleRowBandSize w:val="1"/>
      <w:tblStyleColBandSize w:val="1"/>
      <w:tblCellMar>
        <w:top w:w="0.0" w:type="dxa"/>
        <w:left w:w="144.0" w:type="dxa"/>
        <w:bottom w:w="0.0" w:type="dxa"/>
        <w:right w:w="144.0" w:type="dxa"/>
      </w:tblCellMar>
    </w:tblPr>
    <w:tblStylePr w:type="firstRow">
      <w:tcPr>
        <w:tcBorders>
          <w:bottom w:color="000000" w:space="0" w:sz="0" w:val="nil"/>
        </w:tcBorders>
        <w:vAlign w:val="bottom"/>
      </w:tcPr>
    </w:tblStylePr>
  </w:style>
  <w:style w:type="table" w:styleId="Table6">
    <w:basedOn w:val="TableNormal"/>
    <w:tblPr>
      <w:tblStyleRowBandSize w:val="1"/>
      <w:tblStyleColBandSize w:val="1"/>
      <w:tblCellMar>
        <w:top w:w="0.0" w:type="dxa"/>
        <w:left w:w="144.0" w:type="dxa"/>
        <w:bottom w:w="0.0" w:type="dxa"/>
        <w:right w:w="144.0" w:type="dxa"/>
      </w:tblCellMar>
    </w:tblPr>
    <w:tblStylePr w:type="firstRow">
      <w:tcPr>
        <w:tcBorders>
          <w:bottom w:color="000000" w:space="0" w:sz="0" w:val="nil"/>
        </w:tcBorders>
        <w:vAlign w:val="bottom"/>
      </w:tcPr>
    </w:tblStylePr>
  </w:style>
  <w:style w:type="table" w:styleId="Table7">
    <w:basedOn w:val="TableNormal"/>
    <w:tblPr>
      <w:tblStyleRowBandSize w:val="1"/>
      <w:tblStyleColBandSize w:val="1"/>
      <w:tblCellMar>
        <w:top w:w="0.0" w:type="dxa"/>
        <w:left w:w="144.0" w:type="dxa"/>
        <w:bottom w:w="0.0" w:type="dxa"/>
        <w:right w:w="144.0" w:type="dxa"/>
      </w:tblCellMar>
    </w:tblPr>
    <w:tblStylePr w:type="firstRow">
      <w:tcPr>
        <w:tcBorders>
          <w:bottom w:color="000000" w:space="0" w:sz="0" w:val="nil"/>
        </w:tcBorders>
        <w:vAlign w:val="bottom"/>
      </w:tcPr>
    </w:tblStylePr>
  </w:style>
  <w:style w:type="table" w:styleId="Table8">
    <w:basedOn w:val="TableNormal"/>
    <w:tblPr>
      <w:tblStyleRowBandSize w:val="1"/>
      <w:tblStyleColBandSize w:val="1"/>
      <w:tblCellMar>
        <w:top w:w="0.0" w:type="dxa"/>
        <w:left w:w="144.0" w:type="dxa"/>
        <w:bottom w:w="0.0" w:type="dxa"/>
        <w:right w:w="144.0" w:type="dxa"/>
      </w:tblCellMar>
    </w:tblPr>
    <w:tblStylePr w:type="firstRow">
      <w:tcPr>
        <w:tcBorders>
          <w:bottom w:color="000000" w:space="0" w:sz="0" w:val="nil"/>
        </w:tcBorders>
        <w:vAlign w:val="bottom"/>
      </w:tcPr>
    </w:tblStylePr>
  </w:style>
  <w:style w:type="table" w:styleId="Table9">
    <w:basedOn w:val="TableNormal"/>
    <w:tblPr>
      <w:tblStyleRowBandSize w:val="1"/>
      <w:tblStyleColBandSize w:val="1"/>
      <w:tblCellMar>
        <w:top w:w="0.0" w:type="dxa"/>
        <w:left w:w="144.0" w:type="dxa"/>
        <w:bottom w:w="0.0" w:type="dxa"/>
        <w:right w:w="144.0" w:type="dxa"/>
      </w:tblCellMar>
    </w:tblPr>
    <w:tblStylePr w:type="firstRow">
      <w:tcPr>
        <w:tcBorders>
          <w:bottom w:color="000000" w:space="0" w:sz="0" w:val="nil"/>
        </w:tcBorders>
        <w:vAlign w:val="bottom"/>
      </w:tcPr>
    </w:tblStylePr>
  </w:style>
  <w:style w:type="table" w:styleId="Table10">
    <w:basedOn w:val="TableNormal"/>
    <w:tblPr>
      <w:tblStyleRowBandSize w:val="1"/>
      <w:tblStyleColBandSize w:val="1"/>
      <w:tblCellMar>
        <w:top w:w="0.0" w:type="dxa"/>
        <w:left w:w="108.0" w:type="dxa"/>
        <w:bottom w:w="0.0" w:type="dxa"/>
        <w:right w:w="108.0" w:type="dxa"/>
      </w:tblCellMar>
    </w:tblPr>
    <w:tblStylePr w:type="firstRow">
      <w:tcPr>
        <w:tcBorders>
          <w:bottom w:color="000000" w:space="0" w:sz="0" w:val="nil"/>
        </w:tcBorders>
        <w:vAlign w:val="bottom"/>
      </w:tcPr>
    </w:tblStylePr>
  </w:style>
  <w:style w:type="table" w:styleId="Table11">
    <w:basedOn w:val="TableNormal"/>
    <w:tblPr>
      <w:tblStyleRowBandSize w:val="1"/>
      <w:tblStyleColBandSize w:val="1"/>
      <w:tblCellMar>
        <w:top w:w="0.0" w:type="dxa"/>
        <w:left w:w="144.0" w:type="dxa"/>
        <w:bottom w:w="0.0" w:type="dxa"/>
        <w:right w:w="144.0" w:type="dxa"/>
      </w:tblCellMar>
    </w:tblPr>
    <w:tblStylePr w:type="firstRow">
      <w:tcPr>
        <w:tcBorders>
          <w:bottom w:color="000000" w:space="0" w:sz="0" w:val="nil"/>
        </w:tcBorders>
        <w:vAlign w:val="bottom"/>
      </w:tcPr>
    </w:tblStylePr>
  </w:style>
  <w:style w:type="table" w:styleId="Table12">
    <w:basedOn w:val="TableNormal"/>
    <w:tblPr>
      <w:tblStyleRowBandSize w:val="1"/>
      <w:tblStyleColBandSize w:val="1"/>
      <w:tblCellMar>
        <w:top w:w="0.0" w:type="dxa"/>
        <w:left w:w="144.0" w:type="dxa"/>
        <w:bottom w:w="0.0" w:type="dxa"/>
        <w:right w:w="144.0" w:type="dxa"/>
      </w:tblCellMar>
    </w:tblPr>
    <w:tblStylePr w:type="firstRow">
      <w:tcPr>
        <w:tcBorders>
          <w:bottom w:color="000000" w:space="0" w:sz="0" w:val="nil"/>
        </w:tcBorders>
        <w:vAlign w:val="bottom"/>
      </w:tcPr>
    </w:tblStylePr>
  </w:style>
  <w:style w:type="table" w:styleId="Table13">
    <w:basedOn w:val="TableNormal"/>
    <w:tblPr>
      <w:tblStyleRowBandSize w:val="1"/>
      <w:tblStyleColBandSize w:val="1"/>
      <w:tblCellMar>
        <w:top w:w="0.0" w:type="dxa"/>
        <w:left w:w="144.0" w:type="dxa"/>
        <w:bottom w:w="0.0" w:type="dxa"/>
        <w:right w:w="144.0" w:type="dxa"/>
      </w:tblCellMar>
    </w:tblPr>
    <w:tblStylePr w:type="firstRow">
      <w:tcPr>
        <w:tcBorders>
          <w:bottom w:color="000000" w:space="0" w:sz="0" w:val="nil"/>
        </w:tcBorders>
        <w:vAlign w:val="bottom"/>
      </w:tcPr>
    </w:tblStylePr>
  </w:style>
  <w:style w:type="table" w:styleId="Table14">
    <w:basedOn w:val="TableNormal"/>
    <w:tblPr>
      <w:tblStyleRowBandSize w:val="1"/>
      <w:tblStyleColBandSize w:val="1"/>
      <w:tblCellMar>
        <w:top w:w="0.0" w:type="dxa"/>
        <w:left w:w="144.0" w:type="dxa"/>
        <w:bottom w:w="0.0" w:type="dxa"/>
        <w:right w:w="144.0" w:type="dxa"/>
      </w:tblCellMar>
    </w:tblPr>
    <w:tblStylePr w:type="firstRow">
      <w:tcPr>
        <w:tcBorders>
          <w:bottom w:color="000000" w:space="0" w:sz="0" w:val="nil"/>
        </w:tcBorders>
        <w:vAlign w:val="bottom"/>
      </w:tcPr>
    </w:tblStylePr>
  </w:style>
  <w:style w:type="table" w:styleId="Table15">
    <w:basedOn w:val="TableNormal"/>
    <w:tblPr>
      <w:tblStyleRowBandSize w:val="1"/>
      <w:tblStyleColBandSize w:val="1"/>
      <w:tblCellMar>
        <w:top w:w="0.0" w:type="dxa"/>
        <w:left w:w="144.0" w:type="dxa"/>
        <w:bottom w:w="0.0" w:type="dxa"/>
        <w:right w:w="144.0" w:type="dxa"/>
      </w:tblCellMar>
    </w:tblPr>
    <w:tblStylePr w:type="firstRow">
      <w:tcPr>
        <w:tcBorders>
          <w:bottom w:color="000000" w:space="0" w:sz="0" w:val="nil"/>
        </w:tcBorders>
        <w:vAlign w:val="bottom"/>
      </w:tcPr>
    </w:tblStylePr>
  </w:style>
  <w:style w:type="table" w:styleId="Table16">
    <w:basedOn w:val="TableNormal"/>
    <w:tblPr>
      <w:tblStyleRowBandSize w:val="1"/>
      <w:tblStyleColBandSize w:val="1"/>
      <w:tblCellMar>
        <w:top w:w="0.0" w:type="dxa"/>
        <w:left w:w="144.0" w:type="dxa"/>
        <w:bottom w:w="0.0" w:type="dxa"/>
        <w:right w:w="144.0" w:type="dxa"/>
      </w:tblCellMar>
    </w:tblPr>
    <w:tblStylePr w:type="firstRow">
      <w:tcPr>
        <w:tcBorders>
          <w:bottom w:color="000000" w:space="0" w:sz="0" w:val="nil"/>
        </w:tcBorders>
        <w:vAlign w:val="bottom"/>
      </w:tcPr>
    </w:tblStylePr>
  </w:style>
  <w:style w:type="table" w:styleId="Table17">
    <w:basedOn w:val="TableNormal"/>
    <w:tblPr>
      <w:tblStyleRowBandSize w:val="1"/>
      <w:tblStyleColBandSize w:val="1"/>
      <w:tblCellMar>
        <w:top w:w="0.0" w:type="dxa"/>
        <w:left w:w="144.0" w:type="dxa"/>
        <w:bottom w:w="0.0" w:type="dxa"/>
        <w:right w:w="144.0" w:type="dxa"/>
      </w:tblCellMar>
    </w:tblPr>
    <w:tblStylePr w:type="firstRow">
      <w:tcPr>
        <w:tcBorders>
          <w:bottom w:color="000000" w:space="0" w:sz="0" w:val="nil"/>
        </w:tcBorders>
        <w:vAlign w:val="bottom"/>
      </w:tcPr>
    </w:tblStylePr>
  </w:style>
  <w:style w:type="table" w:styleId="Table18">
    <w:basedOn w:val="TableNormal"/>
    <w:tblPr>
      <w:tblStyleRowBandSize w:val="1"/>
      <w:tblStyleColBandSize w:val="1"/>
      <w:tblCellMar>
        <w:top w:w="0.0" w:type="dxa"/>
        <w:left w:w="144.0" w:type="dxa"/>
        <w:bottom w:w="0.0" w:type="dxa"/>
        <w:right w:w="144.0" w:type="dxa"/>
      </w:tblCellMar>
    </w:tblPr>
    <w:tblStylePr w:type="firstRow">
      <w:tcPr>
        <w:tcBorders>
          <w:bottom w:color="000000" w:space="0" w:sz="0" w:val="nil"/>
        </w:tcBorders>
        <w:vAlign w:val="bottom"/>
      </w:tcPr>
    </w:tblStylePr>
  </w:style>
  <w:style w:type="table" w:styleId="Table19">
    <w:basedOn w:val="TableNormal"/>
    <w:tblPr>
      <w:tblStyleRowBandSize w:val="1"/>
      <w:tblStyleColBandSize w:val="1"/>
      <w:tblCellMar>
        <w:top w:w="0.0" w:type="dxa"/>
        <w:left w:w="144.0" w:type="dxa"/>
        <w:bottom w:w="0.0" w:type="dxa"/>
        <w:right w:w="144.0" w:type="dxa"/>
      </w:tblCellMar>
    </w:tblPr>
    <w:tblStylePr w:type="firstRow">
      <w:tcPr>
        <w:tcBorders>
          <w:bottom w:color="000000" w:space="0" w:sz="0" w:val="nil"/>
        </w:tcBorders>
        <w:vAlign w:val="bottom"/>
      </w:tcPr>
    </w:tblStylePr>
  </w:style>
  <w:style w:type="table" w:styleId="Table20">
    <w:basedOn w:val="TableNormal"/>
    <w:tblPr>
      <w:tblStyleRowBandSize w:val="1"/>
      <w:tblStyleColBandSize w:val="1"/>
      <w:tblCellMar>
        <w:top w:w="0.0" w:type="dxa"/>
        <w:left w:w="144.0" w:type="dxa"/>
        <w:bottom w:w="0.0" w:type="dxa"/>
        <w:right w:w="144.0" w:type="dxa"/>
      </w:tblCellMar>
    </w:tblPr>
    <w:tblStylePr w:type="firstRow">
      <w:tcPr>
        <w:tcBorders>
          <w:bottom w:color="000000" w:space="0" w:sz="0" w:val="nil"/>
        </w:tcBorders>
        <w:vAlign w:val="bottom"/>
      </w:tcPr>
    </w:tblStylePr>
  </w:style>
  <w:style w:type="table" w:styleId="Table21">
    <w:basedOn w:val="TableNormal"/>
    <w:tblPr>
      <w:tblStyleRowBandSize w:val="1"/>
      <w:tblStyleColBandSize w:val="1"/>
      <w:tblCellMar>
        <w:top w:w="0.0" w:type="dxa"/>
        <w:left w:w="144.0" w:type="dxa"/>
        <w:bottom w:w="0.0" w:type="dxa"/>
        <w:right w:w="144.0" w:type="dxa"/>
      </w:tblCellMar>
    </w:tblPr>
    <w:tblStylePr w:type="firstRow">
      <w:tcPr>
        <w:tcBorders>
          <w:bottom w:color="000000" w:space="0" w:sz="0" w:val="nil"/>
        </w:tcBorders>
        <w:vAlign w:val="bottom"/>
      </w:tcPr>
    </w:tblStylePr>
  </w:style>
  <w:style w:type="table" w:styleId="Table22">
    <w:basedOn w:val="TableNormal"/>
    <w:tblPr>
      <w:tblStyleRowBandSize w:val="1"/>
      <w:tblStyleColBandSize w:val="1"/>
      <w:tblCellMar>
        <w:top w:w="0.0" w:type="dxa"/>
        <w:left w:w="144.0" w:type="dxa"/>
        <w:bottom w:w="0.0" w:type="dxa"/>
        <w:right w:w="144.0" w:type="dxa"/>
      </w:tblCellMar>
    </w:tblPr>
    <w:tblStylePr w:type="firstRow">
      <w:tcPr>
        <w:tcBorders>
          <w:bottom w:color="000000" w:space="0" w:sz="0" w:val="nil"/>
        </w:tcBorders>
        <w:vAlign w:val="bottom"/>
      </w:tcPr>
    </w:tblStylePr>
  </w:style>
  <w:style w:type="table" w:styleId="Table23">
    <w:basedOn w:val="TableNormal"/>
    <w:tblPr>
      <w:tblStyleRowBandSize w:val="1"/>
      <w:tblStyleColBandSize w:val="1"/>
      <w:tblCellMar>
        <w:top w:w="0.0" w:type="dxa"/>
        <w:left w:w="144.0" w:type="dxa"/>
        <w:bottom w:w="0.0" w:type="dxa"/>
        <w:right w:w="144.0" w:type="dxa"/>
      </w:tblCellMar>
    </w:tblPr>
    <w:tblStylePr w:type="firstRow">
      <w:tcPr>
        <w:tcBorders>
          <w:bottom w:color="000000" w:space="0" w:sz="0" w:val="nil"/>
        </w:tcBorders>
        <w:vAlign w:val="bottom"/>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hyperlink" Target="https://pirls.ibe.edu.pl/wp-content/uploads/2023/05/PIRLS_2021_Wyniki-miedzynarodowego-badania-osiagniec-czwartoklasistow-w-czytaniu.pdf" TargetMode="External"/><Relationship Id="rId21" Type="http://schemas.openxmlformats.org/officeDocument/2006/relationships/image" Target="media/image9.png"/><Relationship Id="rId24" Type="http://schemas.openxmlformats.org/officeDocument/2006/relationships/hyperlink" Target="https://www.iea.nl/data-tools/repository" TargetMode="External"/><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ea.nl/data-tools/tools" TargetMode="External"/><Relationship Id="rId26" Type="http://schemas.openxmlformats.org/officeDocument/2006/relationships/image" Target="media/image7.png"/><Relationship Id="rId25" Type="http://schemas.openxmlformats.org/officeDocument/2006/relationships/image" Target="media/image8.png"/><Relationship Id="rId27" Type="http://schemas.openxmlformats.org/officeDocument/2006/relationships/image" Target="media/image1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10.png"/><Relationship Id="rId11" Type="http://schemas.openxmlformats.org/officeDocument/2006/relationships/hyperlink" Target="https://www.oecd.org/pisa/data" TargetMode="External"/><Relationship Id="rId10" Type="http://schemas.openxmlformats.org/officeDocument/2006/relationships/hyperlink" Target="https://ibe.edu.pl/pl/miedzynarodowe-badania-edukacyjne-zasoby/filmy-instruktazowe" TargetMode="External"/><Relationship Id="rId13" Type="http://schemas.openxmlformats.org/officeDocument/2006/relationships/hyperlink" Target="https://www.oecd.org/skills/piaac/data" TargetMode="External"/><Relationship Id="rId12" Type="http://schemas.openxmlformats.org/officeDocument/2006/relationships/hyperlink" Target="https://www.iea.nl/data-tools/repository" TargetMode="External"/><Relationship Id="rId15" Type="http://schemas.openxmlformats.org/officeDocument/2006/relationships/image" Target="media/image6.png"/><Relationship Id="rId14" Type="http://schemas.openxmlformats.org/officeDocument/2006/relationships/hyperlink" Target="https://www.oecd.org/en/about/programmes/talis.html#data" TargetMode="External"/><Relationship Id="rId17" Type="http://schemas.openxmlformats.org/officeDocument/2006/relationships/image" Target="media/image2.png"/><Relationship Id="rId16" Type="http://schemas.openxmlformats.org/officeDocument/2006/relationships/image" Target="media/image4.png"/><Relationship Id="rId19" Type="http://schemas.openxmlformats.org/officeDocument/2006/relationships/image" Target="media/image13.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WVzHTOPad+fHzqIZDvzG3Skt9w==">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2025-08-25T13:47:00Z</dcterms:created>
  <dc:creator>Mateusz Kleczaj (m.kleczaj@ibe.edu.pl); Jakub Łobaszewski (j.lobaszewski@ibe.edu.pl)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execute">
    <vt:lpwstr/>
  </property>
  <property fmtid="{D5CDD505-2E9C-101B-9397-08002B2CF9AE}" pid="6" name="header-includes">
    <vt:lpwstr/>
  </property>
  <property fmtid="{D5CDD505-2E9C-101B-9397-08002B2CF9AE}" pid="7" name="include-after">
    <vt:lpwstr/>
  </property>
  <property fmtid="{D5CDD505-2E9C-101B-9397-08002B2CF9AE}" pid="8" name="include-before">
    <vt:lpwstr/>
  </property>
  <property fmtid="{D5CDD505-2E9C-101B-9397-08002B2CF9AE}" pid="9" name="labels">
    <vt:lpwstr/>
  </property>
  <property fmtid="{D5CDD505-2E9C-101B-9397-08002B2CF9AE}" pid="10" name="toc-expand">
    <vt:lpwstr>True</vt:lpwstr>
  </property>
  <property fmtid="{D5CDD505-2E9C-101B-9397-08002B2CF9AE}" pid="11" name="toc-title">
    <vt:lpwstr>Table of contents</vt:lpwstr>
  </property>
</Properties>
</file>